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34BABF39" w:rsidR="0074405B" w:rsidRDefault="007A068F" w:rsidP="0074405B">
      <w:pPr>
        <w:pStyle w:val="3GPPHeader"/>
        <w:spacing w:after="60"/>
        <w:rPr>
          <w:sz w:val="32"/>
          <w:szCs w:val="32"/>
          <w:highlight w:val="yellow"/>
        </w:rPr>
      </w:pPr>
      <w:r>
        <w:t>3GPP TSG RAN WG3</w:t>
      </w:r>
      <w:r w:rsidRPr="00861F4A">
        <w:t xml:space="preserve"> </w:t>
      </w:r>
      <w:r w:rsidR="00536EB6">
        <w:t>#99</w:t>
      </w:r>
      <w:r w:rsidR="000D4488">
        <w:t>bis</w:t>
      </w:r>
      <w:r w:rsidR="0074405B">
        <w:tab/>
      </w:r>
      <w:r w:rsidR="007E4B22" w:rsidRPr="007A068F">
        <w:rPr>
          <w:szCs w:val="24"/>
        </w:rPr>
        <w:t>Tdoc R3</w:t>
      </w:r>
      <w:r w:rsidR="00D70E73" w:rsidRPr="007A068F">
        <w:rPr>
          <w:szCs w:val="24"/>
        </w:rPr>
        <w:t>-1</w:t>
      </w:r>
      <w:r w:rsidR="006723DA">
        <w:rPr>
          <w:szCs w:val="24"/>
        </w:rPr>
        <w:t>8</w:t>
      </w:r>
      <w:r w:rsidR="0075374B">
        <w:rPr>
          <w:szCs w:val="24"/>
        </w:rPr>
        <w:t>2204</w:t>
      </w:r>
      <w:bookmarkStart w:id="0" w:name="_GoBack"/>
      <w:bookmarkEnd w:id="0"/>
    </w:p>
    <w:p w14:paraId="3BA3F9D6" w14:textId="77777777" w:rsidR="000D4488" w:rsidRDefault="000D4488" w:rsidP="000D4488">
      <w:pPr>
        <w:pStyle w:val="CRCoverPage"/>
        <w:outlineLvl w:val="0"/>
        <w:rPr>
          <w:b/>
          <w:noProof/>
          <w:sz w:val="24"/>
        </w:rPr>
      </w:pPr>
      <w:r>
        <w:rPr>
          <w:b/>
          <w:noProof/>
          <w:sz w:val="24"/>
        </w:rPr>
        <w:t>Sanya, P. R. China, 16</w:t>
      </w:r>
      <w:r>
        <w:rPr>
          <w:b/>
          <w:noProof/>
          <w:sz w:val="24"/>
          <w:vertAlign w:val="superscript"/>
        </w:rPr>
        <w:t>th</w:t>
      </w:r>
      <w:r>
        <w:rPr>
          <w:b/>
          <w:noProof/>
          <w:sz w:val="24"/>
        </w:rPr>
        <w:t>- 20</w:t>
      </w:r>
      <w:r>
        <w:rPr>
          <w:b/>
          <w:noProof/>
          <w:sz w:val="24"/>
          <w:vertAlign w:val="superscript"/>
        </w:rPr>
        <w:t>th</w:t>
      </w:r>
      <w:r>
        <w:rPr>
          <w:b/>
          <w:noProof/>
          <w:sz w:val="24"/>
        </w:rPr>
        <w:t xml:space="preserve"> April  2018</w:t>
      </w:r>
    </w:p>
    <w:p w14:paraId="65101127" w14:textId="77777777" w:rsidR="007A068F" w:rsidRDefault="007A068F" w:rsidP="00311702">
      <w:pPr>
        <w:pStyle w:val="3GPPHeader"/>
        <w:rPr>
          <w:sz w:val="22"/>
          <w:szCs w:val="22"/>
          <w:lang w:val="en-US"/>
        </w:rPr>
      </w:pPr>
    </w:p>
    <w:p w14:paraId="4A4F422A" w14:textId="595AFEE4"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C81FD3">
        <w:rPr>
          <w:sz w:val="22"/>
          <w:szCs w:val="22"/>
          <w:lang w:val="en-US"/>
        </w:rPr>
        <w:t>10</w:t>
      </w:r>
      <w:r w:rsidR="00865632">
        <w:rPr>
          <w:sz w:val="22"/>
          <w:szCs w:val="22"/>
          <w:lang w:val="en-US"/>
        </w:rPr>
        <w:t>.10</w:t>
      </w:r>
      <w:r w:rsidR="00C81FD3">
        <w:rPr>
          <w:sz w:val="22"/>
          <w:szCs w:val="22"/>
          <w:lang w:val="en-US"/>
        </w:rPr>
        <w:t>.7</w:t>
      </w:r>
      <w:r w:rsidR="00645B60">
        <w:rPr>
          <w:sz w:val="22"/>
          <w:szCs w:val="22"/>
          <w:lang w:val="en-US"/>
        </w:rPr>
        <w:t>.2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6A7EA46F" w:rsidR="00E90E49" w:rsidRPr="00CE0424" w:rsidRDefault="003D3C45" w:rsidP="00311702">
      <w:pPr>
        <w:pStyle w:val="3GPPHeader"/>
        <w:rPr>
          <w:sz w:val="22"/>
          <w:szCs w:val="22"/>
        </w:rPr>
      </w:pPr>
      <w:r>
        <w:rPr>
          <w:sz w:val="22"/>
          <w:szCs w:val="22"/>
        </w:rPr>
        <w:t>Title:</w:t>
      </w:r>
      <w:r w:rsidR="00E90E49" w:rsidRPr="00CE0424">
        <w:rPr>
          <w:sz w:val="22"/>
          <w:szCs w:val="22"/>
        </w:rPr>
        <w:tab/>
      </w:r>
      <w:r w:rsidR="00D34FC0">
        <w:rPr>
          <w:sz w:val="22"/>
          <w:szCs w:val="22"/>
        </w:rPr>
        <w:t xml:space="preserve">Monitoring inactivity </w:t>
      </w:r>
      <w:r w:rsidR="00C50008">
        <w:rPr>
          <w:sz w:val="22"/>
          <w:szCs w:val="22"/>
        </w:rPr>
        <w:t xml:space="preserve"> </w:t>
      </w:r>
      <w:r w:rsidR="001051DE">
        <w:rPr>
          <w:sz w:val="22"/>
          <w:szCs w:val="22"/>
        </w:rPr>
        <w:t xml:space="preserve"> </w:t>
      </w:r>
      <w:r w:rsidR="00DA01B6">
        <w:rPr>
          <w:sz w:val="22"/>
          <w:szCs w:val="22"/>
        </w:rPr>
        <w:t xml:space="preserve"> </w:t>
      </w:r>
    </w:p>
    <w:p w14:paraId="7E783B99" w14:textId="003ADD13"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D34FC0">
        <w:rPr>
          <w:sz w:val="22"/>
          <w:szCs w:val="22"/>
        </w:rPr>
        <w:t>Discussion, Decision.</w:t>
      </w:r>
    </w:p>
    <w:p w14:paraId="65935703" w14:textId="77777777" w:rsidR="00E90E49" w:rsidRPr="00CE0424" w:rsidRDefault="00E90E49" w:rsidP="00E90E49"/>
    <w:p w14:paraId="607E06CC" w14:textId="2E1675A3" w:rsidR="00E90E49" w:rsidRDefault="00E90E49" w:rsidP="00CE0424">
      <w:pPr>
        <w:pStyle w:val="Heading1"/>
      </w:pPr>
      <w:r w:rsidRPr="00CE0424">
        <w:t>Introduction</w:t>
      </w:r>
    </w:p>
    <w:p w14:paraId="2EABCB0D" w14:textId="2E2AA0E6" w:rsidR="00FB68AE" w:rsidRDefault="00D34FC0" w:rsidP="00FB68AE">
      <w:r>
        <w:t>At the last RAN3 meeting, the monitoring of inactivity was discussed.</w:t>
      </w:r>
      <w:r w:rsidR="00064C22">
        <w:t xml:space="preserve"> As reported in the Chairman notes, the following agreement was achieved:</w:t>
      </w:r>
    </w:p>
    <w:p w14:paraId="7CC4F315" w14:textId="1DC99481" w:rsidR="00064C22" w:rsidRDefault="00064C22" w:rsidP="00064C22">
      <w:pPr>
        <w:pStyle w:val="ListParagraph"/>
        <w:numPr>
          <w:ilvl w:val="0"/>
          <w:numId w:val="21"/>
        </w:numPr>
      </w:pPr>
      <w:r w:rsidRPr="00064C22">
        <w:t>gNB should support user inactivity monitoring (at CU(-UP) and/or DU); CU(-CP) should be aware of user inactivity</w:t>
      </w:r>
      <w:r>
        <w:t>;</w:t>
      </w:r>
    </w:p>
    <w:p w14:paraId="5952CB5D" w14:textId="4A9F39B2" w:rsidR="00064C22" w:rsidRDefault="00064C22" w:rsidP="00064C22">
      <w:r>
        <w:t>Meanwhile, the following options for performing inactivity monitoring were identified:</w:t>
      </w:r>
    </w:p>
    <w:p w14:paraId="3321356F" w14:textId="0D3FF5A3" w:rsidR="004E3316" w:rsidRPr="00064C22" w:rsidRDefault="004E3316" w:rsidP="00C57CB8">
      <w:pPr>
        <w:numPr>
          <w:ilvl w:val="0"/>
          <w:numId w:val="23"/>
        </w:numPr>
        <w:rPr>
          <w:lang w:val="en-US"/>
        </w:rPr>
      </w:pPr>
      <w:r w:rsidRPr="00064C22">
        <w:rPr>
          <w:lang w:val="en-US"/>
        </w:rPr>
        <w:t>Allow only at CU(-UP)</w:t>
      </w:r>
      <w:r w:rsidR="00064C22">
        <w:rPr>
          <w:lang w:val="en-US"/>
        </w:rPr>
        <w:t>;</w:t>
      </w:r>
    </w:p>
    <w:p w14:paraId="1C0BB4D9" w14:textId="172D2F18" w:rsidR="004E3316" w:rsidRPr="00064C22" w:rsidRDefault="004E3316" w:rsidP="00C57CB8">
      <w:pPr>
        <w:numPr>
          <w:ilvl w:val="0"/>
          <w:numId w:val="23"/>
        </w:numPr>
        <w:rPr>
          <w:lang w:val="en-US"/>
        </w:rPr>
      </w:pPr>
      <w:r w:rsidRPr="00064C22">
        <w:rPr>
          <w:lang w:val="en-US"/>
        </w:rPr>
        <w:t>Allow only at DU</w:t>
      </w:r>
      <w:r w:rsidR="00064C22">
        <w:rPr>
          <w:lang w:val="en-US"/>
        </w:rPr>
        <w:t>;</w:t>
      </w:r>
    </w:p>
    <w:p w14:paraId="0825B44A" w14:textId="4FB1DD97" w:rsidR="004E3316" w:rsidRPr="00064C22" w:rsidRDefault="004E3316" w:rsidP="00C57CB8">
      <w:pPr>
        <w:numPr>
          <w:ilvl w:val="0"/>
          <w:numId w:val="23"/>
        </w:numPr>
        <w:rPr>
          <w:lang w:val="en-US"/>
        </w:rPr>
      </w:pPr>
      <w:r w:rsidRPr="00064C22">
        <w:rPr>
          <w:lang w:val="en-US"/>
        </w:rPr>
        <w:t>Allow both at CU(-UP) and at DU</w:t>
      </w:r>
      <w:r w:rsidR="00064C22">
        <w:rPr>
          <w:lang w:val="en-US"/>
        </w:rPr>
        <w:t>.</w:t>
      </w:r>
    </w:p>
    <w:p w14:paraId="59754518" w14:textId="425A221F" w:rsidR="00064C22" w:rsidRPr="00FB68AE" w:rsidRDefault="00064C22" w:rsidP="004E3316">
      <w:pPr>
        <w:jc w:val="left"/>
      </w:pPr>
      <w:r>
        <w:t>In this contribution, we provide our analysis</w:t>
      </w:r>
      <w:r w:rsidR="00C57CB8">
        <w:t xml:space="preserve"> of the options above</w:t>
      </w:r>
      <w:r>
        <w:t xml:space="preserve"> and we propose a compromised solution.</w:t>
      </w:r>
    </w:p>
    <w:p w14:paraId="677A19D1" w14:textId="77777777" w:rsidR="00FB68AE" w:rsidRDefault="00FB68AE" w:rsidP="00FB68AE">
      <w:pPr>
        <w:pStyle w:val="Heading1"/>
      </w:pPr>
      <w:r w:rsidRPr="00CE0424">
        <w:t>Introduction</w:t>
      </w:r>
    </w:p>
    <w:p w14:paraId="41E229AF" w14:textId="5AB4D5FA" w:rsidR="000D4488" w:rsidRDefault="00C57CB8" w:rsidP="000D4488">
      <w:r>
        <w:t>Based on the discussion at the last RAN3 meeting, a comprehensive comparison between options (a), (b) and (c) was endorsed in R3-181405 [</w:t>
      </w:r>
      <w:r w:rsidR="002A1116">
        <w:t>1</w:t>
      </w:r>
      <w:r>
        <w:t xml:space="preserve">]. </w:t>
      </w:r>
    </w:p>
    <w:p w14:paraId="3F1AAA1C" w14:textId="0306DB30" w:rsidR="00585CD8" w:rsidRDefault="00585CD8" w:rsidP="000D4488">
      <w:r>
        <w:t xml:space="preserve">According to R3-181405, </w:t>
      </w:r>
      <w:r w:rsidR="008E794E">
        <w:t>three</w:t>
      </w:r>
      <w:r>
        <w:t xml:space="preserve"> main advantages of option (b) w.r.t. (a) are:</w:t>
      </w:r>
    </w:p>
    <w:p w14:paraId="05002879" w14:textId="69D8B559" w:rsidR="00065149" w:rsidRPr="00065149" w:rsidRDefault="00065149" w:rsidP="000C6F75">
      <w:pPr>
        <w:pStyle w:val="ListParagraph"/>
        <w:numPr>
          <w:ilvl w:val="0"/>
          <w:numId w:val="21"/>
        </w:numPr>
        <w:ind w:left="714" w:hanging="357"/>
        <w:contextualSpacing w:val="0"/>
      </w:pPr>
      <w:r>
        <w:rPr>
          <w:b/>
        </w:rPr>
        <w:t>Lower implementation effort</w:t>
      </w:r>
      <w:r>
        <w:t xml:space="preserve">: The gNB-DU needs to monitor data traffic for generating L2 measurements (e.g., that needs to be reported to the O&amp;M system periodically for observability reasons). In addition, the gNB-DU needs to monitor data traffic for </w:t>
      </w:r>
      <w:r w:rsidRPr="00065149">
        <w:t>MAC deactivation control, MAC DRX control, MAC performance monitoring</w:t>
      </w:r>
      <w:r>
        <w:t xml:space="preserve">, etc. For this reason, it is believed that </w:t>
      </w:r>
      <w:r w:rsidR="004B6C7B">
        <w:t>all</w:t>
      </w:r>
      <w:r>
        <w:t xml:space="preserve"> gNB-DU </w:t>
      </w:r>
      <w:r w:rsidR="004B6C7B">
        <w:t>implementations will support inactivity monitoring</w:t>
      </w:r>
      <w:r w:rsidR="00B74067">
        <w:t>.</w:t>
      </w:r>
    </w:p>
    <w:p w14:paraId="71F1C889" w14:textId="7C0472C2" w:rsidR="000C6F75" w:rsidRDefault="000C6F75" w:rsidP="000C6F75">
      <w:pPr>
        <w:pStyle w:val="ListParagraph"/>
        <w:numPr>
          <w:ilvl w:val="0"/>
          <w:numId w:val="21"/>
        </w:numPr>
        <w:ind w:left="714" w:hanging="357"/>
        <w:contextualSpacing w:val="0"/>
      </w:pPr>
      <w:r>
        <w:rPr>
          <w:b/>
        </w:rPr>
        <w:t xml:space="preserve">More </w:t>
      </w:r>
      <w:r w:rsidR="00585CD8" w:rsidRPr="000C6F75">
        <w:rPr>
          <w:b/>
        </w:rPr>
        <w:t>accurate monitoring of user inactivity</w:t>
      </w:r>
      <w:r w:rsidR="00585CD8">
        <w:t xml:space="preserve">: The gNB-DU can start the inactivity </w:t>
      </w:r>
      <w:r>
        <w:t>timers</w:t>
      </w:r>
      <w:r w:rsidR="00585CD8">
        <w:t xml:space="preserve"> from the </w:t>
      </w:r>
      <w:r>
        <w:t>exact moment</w:t>
      </w:r>
      <w:r w:rsidR="00585CD8">
        <w:t xml:space="preserve"> when </w:t>
      </w:r>
      <w:r>
        <w:t xml:space="preserve">the </w:t>
      </w:r>
      <w:r w:rsidR="00585CD8">
        <w:t>UE</w:t>
      </w:r>
      <w:r>
        <w:t xml:space="preserve"> (and/or DRB)</w:t>
      </w:r>
      <w:r w:rsidR="00585CD8">
        <w:t xml:space="preserve"> is not involved in any data transmission. For example, in DL the gNB-DU can start the inactivity timer as a soon as </w:t>
      </w:r>
      <w:r>
        <w:t xml:space="preserve">all the data in the RLC buffers are </w:t>
      </w:r>
      <w:r w:rsidR="00585CD8">
        <w:t>acked by the UE. On the other hand, the CU(-UP) needs to wait for a DDDS from the gNB-DU</w:t>
      </w:r>
      <w:r>
        <w:t xml:space="preserve"> to start the inactivity timer. In some gNB-DU implementations, it may take some time before the gNB-DU sends the DDDS to the CU(-UP) and in addition there is the F1-U delay to consider. </w:t>
      </w:r>
      <w:r w:rsidR="00583738">
        <w:t xml:space="preserve">Furthermore, the gNB-DU is the only node to </w:t>
      </w:r>
      <w:proofErr w:type="gramStart"/>
      <w:r w:rsidR="00583738">
        <w:t>have an understanding of</w:t>
      </w:r>
      <w:proofErr w:type="gramEnd"/>
      <w:r w:rsidR="00583738">
        <w:t xml:space="preserve"> the UL buffer size at the UE and it is therefore able to judge if any more standing data will need to be transmitted over the UL. This makes the inactivity monitoring far better.</w:t>
      </w:r>
      <w:r w:rsidR="0027380A">
        <w:t xml:space="preserve"> </w:t>
      </w:r>
      <w:r>
        <w:t xml:space="preserve">Therefore, the monitoring at the gNB-DU is </w:t>
      </w:r>
      <w:r w:rsidR="008E794E">
        <w:t xml:space="preserve">indeed </w:t>
      </w:r>
      <w:r>
        <w:t>more accurate.</w:t>
      </w:r>
    </w:p>
    <w:p w14:paraId="630C59B6" w14:textId="72D1B2D7" w:rsidR="000C6F75" w:rsidRDefault="000C6F75" w:rsidP="000C6F75">
      <w:pPr>
        <w:pStyle w:val="ListParagraph"/>
        <w:numPr>
          <w:ilvl w:val="0"/>
          <w:numId w:val="21"/>
        </w:numPr>
        <w:ind w:left="714" w:hanging="357"/>
        <w:contextualSpacing w:val="0"/>
      </w:pPr>
      <w:r>
        <w:rPr>
          <w:b/>
        </w:rPr>
        <w:t xml:space="preserve">Same implementation of inactivity </w:t>
      </w:r>
      <w:r w:rsidRPr="000C6F75">
        <w:rPr>
          <w:b/>
        </w:rPr>
        <w:t>monitoring</w:t>
      </w:r>
      <w:r>
        <w:rPr>
          <w:b/>
        </w:rPr>
        <w:t xml:space="preserve"> in all deployment scenarios:</w:t>
      </w:r>
      <w:r w:rsidRPr="000C6F75">
        <w:rPr>
          <w:b/>
        </w:rPr>
        <w:t xml:space="preserve"> </w:t>
      </w:r>
      <w:r>
        <w:t>The same implementation of inactivity monitoring can be utilized for both a monolithic gNB-CU and a split-gNB-CU (CU-CP and CU-UP) deployment scenarios. This may simplify both product implementation</w:t>
      </w:r>
      <w:r w:rsidR="00065149">
        <w:t xml:space="preserve"> (for vendors)</w:t>
      </w:r>
      <w:r>
        <w:t xml:space="preserve"> and network configuration</w:t>
      </w:r>
      <w:r w:rsidR="00065149">
        <w:t xml:space="preserve"> (for operators)</w:t>
      </w:r>
      <w:r>
        <w:t xml:space="preserve">. </w:t>
      </w:r>
    </w:p>
    <w:p w14:paraId="5CEA45B2" w14:textId="35AC989B" w:rsidR="008E794E" w:rsidRDefault="008E794E" w:rsidP="008E794E">
      <w:r>
        <w:t>Meanwhile, according to R3-181405, the main advantage of option (a) w.r.t. (b) is:</w:t>
      </w:r>
    </w:p>
    <w:p w14:paraId="2280934F" w14:textId="6C87ADA1" w:rsidR="008E794E" w:rsidRPr="008E794E" w:rsidRDefault="001F6CB8" w:rsidP="008E794E">
      <w:pPr>
        <w:pStyle w:val="ListParagraph"/>
        <w:numPr>
          <w:ilvl w:val="0"/>
          <w:numId w:val="21"/>
        </w:numPr>
        <w:contextualSpacing w:val="0"/>
        <w:rPr>
          <w:b/>
          <w:lang w:val="en-US"/>
        </w:rPr>
      </w:pPr>
      <w:r w:rsidRPr="008E794E">
        <w:rPr>
          <w:b/>
          <w:lang w:val="en-US"/>
        </w:rPr>
        <w:lastRenderedPageBreak/>
        <w:t xml:space="preserve">No signaling required for the </w:t>
      </w:r>
      <w:r w:rsidR="008E794E">
        <w:rPr>
          <w:b/>
          <w:lang w:val="en-US"/>
        </w:rPr>
        <w:t>monolithic gNB-C</w:t>
      </w:r>
      <w:r w:rsidRPr="008E794E">
        <w:rPr>
          <w:b/>
          <w:lang w:val="en-US"/>
        </w:rPr>
        <w:t>U case</w:t>
      </w:r>
      <w:r w:rsidR="008E794E">
        <w:rPr>
          <w:b/>
          <w:lang w:val="en-US"/>
        </w:rPr>
        <w:t xml:space="preserve">: </w:t>
      </w:r>
      <w:r w:rsidR="008E794E" w:rsidRPr="008E794E">
        <w:t>When the gNB-CU identifies that the UE has been inactive for a given amount of time it can immediately take actions</w:t>
      </w:r>
      <w:r w:rsidR="008E794E">
        <w:t xml:space="preserve">. There is no need for reporting over the F1 and signalling over the network interface can be reduced. </w:t>
      </w:r>
    </w:p>
    <w:p w14:paraId="30025530" w14:textId="5B4D1A06" w:rsidR="008E794E" w:rsidRPr="001F6CB8" w:rsidRDefault="001F6CB8" w:rsidP="001F6CB8">
      <w:pPr>
        <w:pStyle w:val="ListParagraph"/>
        <w:numPr>
          <w:ilvl w:val="0"/>
          <w:numId w:val="21"/>
        </w:numPr>
        <w:rPr>
          <w:lang w:val="en-US"/>
        </w:rPr>
      </w:pPr>
      <w:r>
        <w:rPr>
          <w:b/>
          <w:lang w:val="en-US"/>
        </w:rPr>
        <w:t>Additional note</w:t>
      </w:r>
      <w:r w:rsidR="005A4629" w:rsidRPr="001F6CB8">
        <w:rPr>
          <w:lang w:val="en-US"/>
        </w:rPr>
        <w:t>.</w:t>
      </w:r>
      <w:r w:rsidR="008E794E" w:rsidRPr="001F6CB8">
        <w:rPr>
          <w:lang w:val="en-US"/>
        </w:rPr>
        <w:t xml:space="preserve"> In R3-184105 another advantage is mentioned</w:t>
      </w:r>
      <w:r w:rsidR="005A4629" w:rsidRPr="001F6CB8">
        <w:rPr>
          <w:lang w:val="en-US"/>
        </w:rPr>
        <w:t xml:space="preserve"> for option (a) over (b):</w:t>
      </w:r>
      <w:r w:rsidR="008E794E" w:rsidRPr="001F6CB8">
        <w:rPr>
          <w:lang w:val="en-US"/>
        </w:rPr>
        <w:t xml:space="preserve"> </w:t>
      </w:r>
      <w:r w:rsidR="005A4629" w:rsidRPr="001F6CB8">
        <w:rPr>
          <w:lang w:val="en-US"/>
        </w:rPr>
        <w:t>“</w:t>
      </w:r>
      <w:r w:rsidR="005A4629" w:rsidRPr="001F6CB8">
        <w:rPr>
          <w:i/>
          <w:lang w:val="en-US"/>
        </w:rPr>
        <w:t>For lower layer split, user inactivity monitoring will anyways be at CU</w:t>
      </w:r>
      <w:r w:rsidR="005A4629" w:rsidRPr="001F6CB8">
        <w:rPr>
          <w:lang w:val="en-US"/>
        </w:rPr>
        <w:t xml:space="preserve">”. However, the lower-layer split is a completely different architecture, and there is no </w:t>
      </w:r>
      <w:r w:rsidR="00BB1134" w:rsidRPr="001F6CB8">
        <w:rPr>
          <w:lang w:val="en-US"/>
        </w:rPr>
        <w:t xml:space="preserve">clear </w:t>
      </w:r>
      <w:r w:rsidR="005A4629" w:rsidRPr="001F6CB8">
        <w:rPr>
          <w:lang w:val="en-US"/>
        </w:rPr>
        <w:t xml:space="preserve">definition of </w:t>
      </w:r>
      <w:r w:rsidR="00BB1134" w:rsidRPr="001F6CB8">
        <w:rPr>
          <w:lang w:val="en-US"/>
        </w:rPr>
        <w:t>“</w:t>
      </w:r>
      <w:r w:rsidR="005A4629" w:rsidRPr="001F6CB8">
        <w:rPr>
          <w:lang w:val="en-US"/>
        </w:rPr>
        <w:t>CU</w:t>
      </w:r>
      <w:r w:rsidR="00BB1134" w:rsidRPr="001F6CB8">
        <w:rPr>
          <w:lang w:val="en-US"/>
        </w:rPr>
        <w:t>”</w:t>
      </w:r>
      <w:r w:rsidR="005A4629" w:rsidRPr="001F6CB8">
        <w:rPr>
          <w:lang w:val="en-US"/>
        </w:rPr>
        <w:t xml:space="preserve"> and </w:t>
      </w:r>
      <w:r w:rsidR="00BB1134" w:rsidRPr="001F6CB8">
        <w:rPr>
          <w:lang w:val="en-US"/>
        </w:rPr>
        <w:t>“</w:t>
      </w:r>
      <w:r w:rsidR="005A4629" w:rsidRPr="001F6CB8">
        <w:rPr>
          <w:lang w:val="en-US"/>
        </w:rPr>
        <w:t xml:space="preserve">DU </w:t>
      </w:r>
      <w:r w:rsidR="00BB1134" w:rsidRPr="001F6CB8">
        <w:rPr>
          <w:lang w:val="en-US"/>
        </w:rPr>
        <w:t>“</w:t>
      </w:r>
      <w:r w:rsidR="005A4629" w:rsidRPr="001F6CB8">
        <w:rPr>
          <w:lang w:val="en-US"/>
        </w:rPr>
        <w:t xml:space="preserve">for this architecture. Therefore, it is </w:t>
      </w:r>
      <w:r w:rsidR="00044EC4" w:rsidRPr="001F6CB8">
        <w:rPr>
          <w:lang w:val="en-US"/>
        </w:rPr>
        <w:t>incorrect</w:t>
      </w:r>
      <w:r w:rsidR="005A4629" w:rsidRPr="001F6CB8">
        <w:rPr>
          <w:lang w:val="en-US"/>
        </w:rPr>
        <w:t xml:space="preserve"> to </w:t>
      </w:r>
      <w:r w:rsidR="00044EC4" w:rsidRPr="001F6CB8">
        <w:rPr>
          <w:lang w:val="en-US"/>
        </w:rPr>
        <w:t>state</w:t>
      </w:r>
      <w:r w:rsidR="005A4629" w:rsidRPr="001F6CB8">
        <w:rPr>
          <w:lang w:val="en-US"/>
        </w:rPr>
        <w:t xml:space="preserve"> that “</w:t>
      </w:r>
      <w:r w:rsidR="005A4629" w:rsidRPr="001F6CB8">
        <w:rPr>
          <w:i/>
          <w:lang w:val="en-US"/>
        </w:rPr>
        <w:t>For lower layer split, user inactivity monitoring will anyways be in CU</w:t>
      </w:r>
      <w:r w:rsidR="005A4629" w:rsidRPr="001F6CB8">
        <w:rPr>
          <w:lang w:val="en-US"/>
        </w:rPr>
        <w:t>”</w:t>
      </w:r>
      <w:r w:rsidR="00044EC4" w:rsidRPr="001F6CB8">
        <w:rPr>
          <w:lang w:val="en-US"/>
        </w:rPr>
        <w:t>,</w:t>
      </w:r>
      <w:r w:rsidR="005A4629" w:rsidRPr="001F6CB8">
        <w:rPr>
          <w:lang w:val="en-US"/>
        </w:rPr>
        <w:t xml:space="preserve"> as there is no definition of what is </w:t>
      </w:r>
      <w:r w:rsidR="00044EC4" w:rsidRPr="001F6CB8">
        <w:rPr>
          <w:lang w:val="en-US"/>
        </w:rPr>
        <w:t>a</w:t>
      </w:r>
      <w:r w:rsidR="005A4629" w:rsidRPr="001F6CB8">
        <w:rPr>
          <w:lang w:val="en-US"/>
        </w:rPr>
        <w:t xml:space="preserve"> “CU”</w:t>
      </w:r>
      <w:r w:rsidR="00BB1134" w:rsidRPr="001F6CB8">
        <w:rPr>
          <w:lang w:val="en-US"/>
        </w:rPr>
        <w:t xml:space="preserve"> in this context</w:t>
      </w:r>
      <w:r w:rsidR="005A4629" w:rsidRPr="001F6CB8">
        <w:rPr>
          <w:lang w:val="en-US"/>
        </w:rPr>
        <w:t xml:space="preserve">. It should be also noted that a lower-layer can be cascaded with a higher-layer split, in which case </w:t>
      </w:r>
      <w:r w:rsidR="00044EC4" w:rsidRPr="001F6CB8">
        <w:rPr>
          <w:lang w:val="en-US"/>
        </w:rPr>
        <w:t xml:space="preserve">reporting </w:t>
      </w:r>
      <w:r w:rsidR="00BB1134" w:rsidRPr="001F6CB8">
        <w:rPr>
          <w:lang w:val="en-US"/>
        </w:rPr>
        <w:t xml:space="preserve">is </w:t>
      </w:r>
      <w:r w:rsidR="005A4629" w:rsidRPr="001F6CB8">
        <w:rPr>
          <w:lang w:val="en-US"/>
        </w:rPr>
        <w:t xml:space="preserve">still </w:t>
      </w:r>
      <w:r w:rsidR="00BB1134" w:rsidRPr="001F6CB8">
        <w:rPr>
          <w:lang w:val="en-US"/>
        </w:rPr>
        <w:t xml:space="preserve">needed </w:t>
      </w:r>
      <w:r w:rsidR="00044EC4" w:rsidRPr="001F6CB8">
        <w:rPr>
          <w:lang w:val="en-US"/>
        </w:rPr>
        <w:t>on</w:t>
      </w:r>
      <w:r w:rsidR="005A4629" w:rsidRPr="001F6CB8">
        <w:rPr>
          <w:lang w:val="en-US"/>
        </w:rPr>
        <w:t xml:space="preserve"> either </w:t>
      </w:r>
      <w:r w:rsidR="00044EC4" w:rsidRPr="001F6CB8">
        <w:rPr>
          <w:lang w:val="en-US"/>
        </w:rPr>
        <w:t>F1 and/or E1</w:t>
      </w:r>
      <w:r w:rsidR="005A4629" w:rsidRPr="001F6CB8">
        <w:rPr>
          <w:lang w:val="en-US"/>
        </w:rPr>
        <w:t>. Therefore, this advantage is not applicable.</w:t>
      </w:r>
    </w:p>
    <w:p w14:paraId="5BC66ED7" w14:textId="45E5CAC9" w:rsidR="00F131B8" w:rsidRDefault="001F6CB8" w:rsidP="008E794E">
      <w:pPr>
        <w:rPr>
          <w:lang w:val="en-US"/>
        </w:rPr>
      </w:pPr>
      <w:r>
        <w:rPr>
          <w:lang w:val="en-US"/>
        </w:rPr>
        <w:t>From the discussion above, i</w:t>
      </w:r>
      <w:r w:rsidR="00F131B8">
        <w:rPr>
          <w:lang w:val="en-US"/>
        </w:rPr>
        <w:t xml:space="preserve">t </w:t>
      </w:r>
      <w:r>
        <w:rPr>
          <w:lang w:val="en-US"/>
        </w:rPr>
        <w:t>appears to us,</w:t>
      </w:r>
      <w:r w:rsidR="00F131B8">
        <w:rPr>
          <w:lang w:val="en-US"/>
        </w:rPr>
        <w:t xml:space="preserve"> that </w:t>
      </w:r>
      <w:r>
        <w:rPr>
          <w:lang w:val="en-US"/>
        </w:rPr>
        <w:t xml:space="preserve">option </w:t>
      </w:r>
      <w:r w:rsidR="00F131B8">
        <w:rPr>
          <w:lang w:val="en-US"/>
        </w:rPr>
        <w:t xml:space="preserve">(b) is </w:t>
      </w:r>
      <w:r>
        <w:rPr>
          <w:lang w:val="en-US"/>
        </w:rPr>
        <w:t xml:space="preserve">overall </w:t>
      </w:r>
      <w:r w:rsidR="00F131B8">
        <w:rPr>
          <w:lang w:val="en-US"/>
        </w:rPr>
        <w:t>beneficial w.r.t. (a</w:t>
      </w:r>
      <w:r>
        <w:rPr>
          <w:lang w:val="en-US"/>
        </w:rPr>
        <w:t xml:space="preserve">). On the other hand, we understand that option (a) may be better in some deployment scenarios (e.g., based on </w:t>
      </w:r>
      <w:r w:rsidRPr="001F6CB8">
        <w:rPr>
          <w:lang w:val="en-US"/>
        </w:rPr>
        <w:t xml:space="preserve">monolithic </w:t>
      </w:r>
      <w:r>
        <w:rPr>
          <w:lang w:val="en-US"/>
        </w:rPr>
        <w:t xml:space="preserve">gNB-CU). An operator may also want to adopt option (a) in case of CP-UP split. Therefore, </w:t>
      </w:r>
      <w:bookmarkStart w:id="1" w:name="_Hlk510607582"/>
      <w:r>
        <w:rPr>
          <w:lang w:val="en-US"/>
        </w:rPr>
        <w:t xml:space="preserve">option (c) seems to be a good compromise and the best way-forward. </w:t>
      </w:r>
    </w:p>
    <w:bookmarkEnd w:id="1"/>
    <w:p w14:paraId="0BCC8C83" w14:textId="547BBBA9" w:rsidR="001F6CB8" w:rsidRDefault="001F6CB8" w:rsidP="001F6CB8">
      <w:pPr>
        <w:pStyle w:val="TOC1"/>
        <w:spacing w:after="240"/>
        <w:jc w:val="both"/>
        <w:rPr>
          <w:noProof w:val="0"/>
          <w:lang w:val="en-GB"/>
        </w:rPr>
      </w:pPr>
      <w:r>
        <w:rPr>
          <w:noProof w:val="0"/>
          <w:lang w:val="en-GB"/>
        </w:rPr>
        <w:t>Observation</w:t>
      </w:r>
      <w:r w:rsidRPr="007B5114">
        <w:rPr>
          <w:noProof w:val="0"/>
          <w:lang w:val="en-GB"/>
        </w:rPr>
        <w:t xml:space="preserve"> </w:t>
      </w:r>
      <w:r>
        <w:rPr>
          <w:noProof w:val="0"/>
          <w:lang w:val="en-GB"/>
        </w:rPr>
        <w:t>1:</w:t>
      </w:r>
      <w:r w:rsidRPr="007B5114">
        <w:rPr>
          <w:rFonts w:asciiTheme="minorHAnsi" w:eastAsiaTheme="minorEastAsia" w:hAnsiTheme="minorHAnsi" w:cstheme="minorBidi"/>
          <w:b w:val="0"/>
          <w:noProof w:val="0"/>
          <w:sz w:val="22"/>
          <w:lang w:val="en-GB" w:eastAsia="sv-SE"/>
        </w:rPr>
        <w:tab/>
      </w:r>
      <w:r>
        <w:rPr>
          <w:noProof w:val="0"/>
          <w:lang w:val="en-GB"/>
        </w:rPr>
        <w:t>O</w:t>
      </w:r>
      <w:r w:rsidRPr="001F6CB8">
        <w:rPr>
          <w:noProof w:val="0"/>
          <w:lang w:val="en-GB"/>
        </w:rPr>
        <w:t>ption (c) seems to be a good compromise and the best way-forward.</w:t>
      </w:r>
    </w:p>
    <w:p w14:paraId="0E9A057C" w14:textId="06EAFF31" w:rsidR="001F6CB8" w:rsidRDefault="001F6CB8" w:rsidP="001F6CB8">
      <w:pPr>
        <w:rPr>
          <w:lang w:val="en-US"/>
        </w:rPr>
      </w:pPr>
      <w:r>
        <w:rPr>
          <w:lang w:val="en-US"/>
        </w:rPr>
        <w:t>In R3</w:t>
      </w:r>
      <w:r w:rsidR="000D78A5">
        <w:rPr>
          <w:lang w:val="en-US"/>
        </w:rPr>
        <w:t>-</w:t>
      </w:r>
      <w:r>
        <w:rPr>
          <w:lang w:val="en-US"/>
        </w:rPr>
        <w:t>184105</w:t>
      </w:r>
      <w:r>
        <w:rPr>
          <w:lang w:val="en-US"/>
        </w:rPr>
        <w:t>, the following two obstacles are mentioned for proceeding with option (c):</w:t>
      </w:r>
    </w:p>
    <w:p w14:paraId="2620A857" w14:textId="453A21CF" w:rsidR="001F6CB8" w:rsidRPr="001F6CB8" w:rsidRDefault="001F6CB8" w:rsidP="001F6CB8">
      <w:pPr>
        <w:pStyle w:val="ListParagraph"/>
        <w:numPr>
          <w:ilvl w:val="0"/>
          <w:numId w:val="21"/>
        </w:numPr>
        <w:ind w:left="714" w:hanging="357"/>
        <w:contextualSpacing w:val="0"/>
        <w:rPr>
          <w:lang w:val="en-US"/>
        </w:rPr>
      </w:pPr>
      <w:r w:rsidRPr="001F6CB8">
        <w:rPr>
          <w:b/>
          <w:lang w:val="en-US"/>
        </w:rPr>
        <w:t>Interoperability issues</w:t>
      </w:r>
      <w:r w:rsidRPr="001F6CB8">
        <w:rPr>
          <w:lang w:val="en-US"/>
        </w:rPr>
        <w:t xml:space="preserve">: </w:t>
      </w:r>
      <w:r>
        <w:rPr>
          <w:lang w:val="en-US"/>
        </w:rPr>
        <w:t>There may be interoperability issues among vendors that implement different options</w:t>
      </w:r>
      <w:r w:rsidR="00934976">
        <w:rPr>
          <w:lang w:val="en-US"/>
        </w:rPr>
        <w:t>, u</w:t>
      </w:r>
      <w:r w:rsidRPr="001F6CB8">
        <w:rPr>
          <w:lang w:val="en-US"/>
        </w:rPr>
        <w:t>nless either monitoring at CU(-UP) or monitoring at DU can be mandated</w:t>
      </w:r>
      <w:r>
        <w:rPr>
          <w:lang w:val="en-US"/>
        </w:rPr>
        <w:t>;</w:t>
      </w:r>
    </w:p>
    <w:p w14:paraId="4DE6D4AA" w14:textId="157E4C1A" w:rsidR="001F6CB8" w:rsidRDefault="001F6CB8" w:rsidP="001F6CB8">
      <w:pPr>
        <w:pStyle w:val="ListParagraph"/>
        <w:numPr>
          <w:ilvl w:val="0"/>
          <w:numId w:val="21"/>
        </w:numPr>
        <w:rPr>
          <w:lang w:val="en-US"/>
        </w:rPr>
      </w:pPr>
      <w:r w:rsidRPr="00934976">
        <w:rPr>
          <w:b/>
          <w:lang w:val="en-US"/>
        </w:rPr>
        <w:t>More implementation effort for vendors</w:t>
      </w:r>
      <w:r>
        <w:rPr>
          <w:lang w:val="en-US"/>
        </w:rPr>
        <w:t xml:space="preserve">: </w:t>
      </w:r>
      <w:r w:rsidRPr="001F6CB8">
        <w:rPr>
          <w:lang w:val="en-US"/>
        </w:rPr>
        <w:t>Vendors may end up having to support both monitoring at CU(-UP) and monitoring at DU</w:t>
      </w:r>
      <w:r>
        <w:rPr>
          <w:lang w:val="en-US"/>
        </w:rPr>
        <w:t>.</w:t>
      </w:r>
    </w:p>
    <w:p w14:paraId="13DB0323" w14:textId="28DAE2AE" w:rsidR="00934976" w:rsidRDefault="00934976" w:rsidP="00934976">
      <w:pPr>
        <w:rPr>
          <w:lang w:val="en-US"/>
        </w:rPr>
      </w:pPr>
      <w:r>
        <w:rPr>
          <w:lang w:val="en-US"/>
        </w:rPr>
        <w:t xml:space="preserve">As explained above, we believe that all gNB-DU implementations will anyway need to support inactivity monitoring for different reasons. Therefore, it seems that implementing a </w:t>
      </w:r>
      <w:r w:rsidR="00EC58C3">
        <w:rPr>
          <w:lang w:val="en-US"/>
        </w:rPr>
        <w:t xml:space="preserve">monitoring and </w:t>
      </w:r>
      <w:r>
        <w:rPr>
          <w:lang w:val="en-US"/>
        </w:rPr>
        <w:t>report</w:t>
      </w:r>
      <w:r w:rsidR="00EC58C3">
        <w:rPr>
          <w:lang w:val="en-US"/>
        </w:rPr>
        <w:t>ing</w:t>
      </w:r>
      <w:r>
        <w:rPr>
          <w:lang w:val="en-US"/>
        </w:rPr>
        <w:t xml:space="preserve"> function </w:t>
      </w:r>
      <w:r w:rsidR="00EC58C3">
        <w:rPr>
          <w:lang w:val="en-US"/>
        </w:rPr>
        <w:t>in the gNB-DU</w:t>
      </w:r>
      <w:r>
        <w:rPr>
          <w:lang w:val="en-US"/>
        </w:rPr>
        <w:t xml:space="preserve"> does not require </w:t>
      </w:r>
      <w:r w:rsidR="00206BE0">
        <w:rPr>
          <w:lang w:val="en-US"/>
        </w:rPr>
        <w:t>extra</w:t>
      </w:r>
      <w:r>
        <w:rPr>
          <w:lang w:val="en-US"/>
        </w:rPr>
        <w:t xml:space="preserve"> implementation effort. On the other hand, inactivity monitoring and reporting in the CU-UP may be optional.</w:t>
      </w:r>
      <w:r w:rsidR="00206BE0">
        <w:rPr>
          <w:lang w:val="en-US"/>
        </w:rPr>
        <w:t xml:space="preserve"> </w:t>
      </w:r>
      <w:r w:rsidR="00F2754D">
        <w:rPr>
          <w:lang w:val="en-US"/>
        </w:rPr>
        <w:t>Based on the assumption</w:t>
      </w:r>
      <w:r w:rsidR="00EC58C3">
        <w:rPr>
          <w:lang w:val="en-US"/>
        </w:rPr>
        <w:t xml:space="preserve"> that the gNB-DU always supports </w:t>
      </w:r>
      <w:r w:rsidR="00F2754D">
        <w:rPr>
          <w:lang w:val="en-US"/>
        </w:rPr>
        <w:t>inactivity</w:t>
      </w:r>
      <w:r w:rsidR="00EC58C3">
        <w:rPr>
          <w:lang w:val="en-US"/>
        </w:rPr>
        <w:t xml:space="preserve"> monitoring and reporting</w:t>
      </w:r>
      <w:r w:rsidR="00F2754D">
        <w:rPr>
          <w:lang w:val="en-US"/>
        </w:rPr>
        <w:t xml:space="preserve">, </w:t>
      </w:r>
      <w:r w:rsidR="00206BE0">
        <w:rPr>
          <w:lang w:val="en-US"/>
        </w:rPr>
        <w:t>interoperability problems can be avoided.</w:t>
      </w:r>
    </w:p>
    <w:p w14:paraId="67B242E8" w14:textId="4F0B3D6F" w:rsidR="00934976" w:rsidRDefault="00934976" w:rsidP="00934976">
      <w:pPr>
        <w:pStyle w:val="TOC1"/>
        <w:spacing w:after="240"/>
        <w:jc w:val="both"/>
        <w:rPr>
          <w:noProof w:val="0"/>
          <w:lang w:val="en-GB"/>
        </w:rPr>
      </w:pPr>
      <w:r>
        <w:rPr>
          <w:noProof w:val="0"/>
          <w:lang w:val="en-GB"/>
        </w:rPr>
        <w:t>Observation</w:t>
      </w:r>
      <w:r w:rsidRPr="007B5114">
        <w:rPr>
          <w:noProof w:val="0"/>
          <w:lang w:val="en-GB"/>
        </w:rPr>
        <w:t xml:space="preserve"> </w:t>
      </w:r>
      <w:r>
        <w:rPr>
          <w:noProof w:val="0"/>
          <w:lang w:val="en-GB"/>
        </w:rPr>
        <w:t>2:</w:t>
      </w:r>
      <w:r w:rsidRPr="007B5114">
        <w:rPr>
          <w:rFonts w:asciiTheme="minorHAnsi" w:eastAsiaTheme="minorEastAsia" w:hAnsiTheme="minorHAnsi" w:cstheme="minorBidi"/>
          <w:b w:val="0"/>
          <w:noProof w:val="0"/>
          <w:sz w:val="22"/>
          <w:lang w:val="en-GB" w:eastAsia="sv-SE"/>
        </w:rPr>
        <w:tab/>
      </w:r>
      <w:r>
        <w:rPr>
          <w:noProof w:val="0"/>
          <w:lang w:val="en-GB"/>
        </w:rPr>
        <w:t>A</w:t>
      </w:r>
      <w:r w:rsidRPr="00934976">
        <w:rPr>
          <w:noProof w:val="0"/>
          <w:lang w:val="en-GB"/>
        </w:rPr>
        <w:t>ll gNB-DU implementations need to support inactivity monitoring for different reasons</w:t>
      </w:r>
      <w:r>
        <w:rPr>
          <w:noProof w:val="0"/>
          <w:lang w:val="en-GB"/>
        </w:rPr>
        <w:t xml:space="preserve"> (e.g., UE observability)</w:t>
      </w:r>
      <w:r w:rsidRPr="001F6CB8">
        <w:rPr>
          <w:noProof w:val="0"/>
          <w:lang w:val="en-GB"/>
        </w:rPr>
        <w:t>.</w:t>
      </w:r>
      <w:r>
        <w:rPr>
          <w:noProof w:val="0"/>
          <w:lang w:val="en-GB"/>
        </w:rPr>
        <w:t xml:space="preserve"> Inactivity monitoring at CU-UP can be optional.</w:t>
      </w:r>
    </w:p>
    <w:p w14:paraId="03E3AF55" w14:textId="21384EC4" w:rsidR="00934976" w:rsidRDefault="00AA584B" w:rsidP="00934976">
      <w:pPr>
        <w:rPr>
          <w:lang w:val="en-US"/>
        </w:rPr>
      </w:pPr>
      <w:r>
        <w:rPr>
          <w:lang w:val="en-US"/>
        </w:rPr>
        <w:t>Based on the discussion above, we propose the following way-forward:</w:t>
      </w:r>
    </w:p>
    <w:p w14:paraId="0E2D1786" w14:textId="77777777" w:rsidR="0014780F" w:rsidRDefault="0014780F" w:rsidP="0014780F">
      <w:pPr>
        <w:pStyle w:val="TOC1"/>
        <w:spacing w:after="240"/>
        <w:jc w:val="both"/>
        <w:rPr>
          <w:noProof w:val="0"/>
          <w:lang w:val="en-GB"/>
        </w:rPr>
      </w:pPr>
      <w:r>
        <w:rPr>
          <w:noProof w:val="0"/>
          <w:lang w:val="en-GB"/>
        </w:rPr>
        <w:t>Proposal</w:t>
      </w:r>
      <w:r w:rsidRPr="007B5114">
        <w:rPr>
          <w:noProof w:val="0"/>
          <w:lang w:val="en-GB"/>
        </w:rPr>
        <w:t xml:space="preserve"> </w:t>
      </w:r>
      <w:r>
        <w:rPr>
          <w:noProof w:val="0"/>
          <w:lang w:val="en-GB"/>
        </w:rPr>
        <w:t>1:</w:t>
      </w:r>
      <w:r w:rsidRPr="007B5114">
        <w:rPr>
          <w:rFonts w:asciiTheme="minorHAnsi" w:eastAsiaTheme="minorEastAsia" w:hAnsiTheme="minorHAnsi" w:cstheme="minorBidi"/>
          <w:b w:val="0"/>
          <w:noProof w:val="0"/>
          <w:sz w:val="22"/>
          <w:lang w:val="en-GB" w:eastAsia="sv-SE"/>
        </w:rPr>
        <w:tab/>
      </w:r>
      <w:r>
        <w:rPr>
          <w:noProof w:val="0"/>
          <w:lang w:val="en-GB"/>
        </w:rPr>
        <w:t xml:space="preserve">The gNB-DU </w:t>
      </w:r>
      <w:r w:rsidRPr="00866494">
        <w:rPr>
          <w:i/>
          <w:noProof w:val="0"/>
          <w:lang w:val="en-GB"/>
        </w:rPr>
        <w:t>shall</w:t>
      </w:r>
      <w:r>
        <w:rPr>
          <w:noProof w:val="0"/>
          <w:lang w:val="en-GB"/>
        </w:rPr>
        <w:t xml:space="preserve"> support inactivity monitoring and reporting. The CU(-UP) </w:t>
      </w:r>
      <w:r w:rsidRPr="00866494">
        <w:rPr>
          <w:i/>
          <w:noProof w:val="0"/>
          <w:lang w:val="en-GB"/>
        </w:rPr>
        <w:t>may</w:t>
      </w:r>
      <w:r>
        <w:rPr>
          <w:noProof w:val="0"/>
          <w:lang w:val="en-GB"/>
        </w:rPr>
        <w:t xml:space="preserve"> support inactivity monitoring and reporting. </w:t>
      </w:r>
    </w:p>
    <w:p w14:paraId="72EC31FD" w14:textId="77777777" w:rsidR="0014780F" w:rsidRDefault="0014780F" w:rsidP="0014780F">
      <w:pPr>
        <w:pStyle w:val="TOC1"/>
        <w:spacing w:after="120"/>
        <w:jc w:val="both"/>
        <w:rPr>
          <w:noProof w:val="0"/>
          <w:lang w:val="en-GB"/>
        </w:rPr>
      </w:pPr>
      <w:r>
        <w:rPr>
          <w:noProof w:val="0"/>
          <w:lang w:val="en-GB"/>
        </w:rPr>
        <w:t>Proposal</w:t>
      </w:r>
      <w:r w:rsidRPr="007B5114">
        <w:rPr>
          <w:noProof w:val="0"/>
          <w:lang w:val="en-GB"/>
        </w:rPr>
        <w:t xml:space="preserve"> </w:t>
      </w:r>
      <w:r>
        <w:rPr>
          <w:noProof w:val="0"/>
          <w:lang w:val="en-GB"/>
        </w:rPr>
        <w:t>2:</w:t>
      </w:r>
      <w:r w:rsidRPr="007B5114">
        <w:rPr>
          <w:rFonts w:asciiTheme="minorHAnsi" w:eastAsiaTheme="minorEastAsia" w:hAnsiTheme="minorHAnsi" w:cstheme="minorBidi"/>
          <w:b w:val="0"/>
          <w:noProof w:val="0"/>
          <w:sz w:val="22"/>
          <w:lang w:val="en-GB" w:eastAsia="sv-SE"/>
        </w:rPr>
        <w:tab/>
      </w:r>
      <w:r>
        <w:rPr>
          <w:noProof w:val="0"/>
          <w:lang w:val="en-GB"/>
        </w:rPr>
        <w:t>Introduce on the E1 interface support for the following functions:</w:t>
      </w:r>
    </w:p>
    <w:p w14:paraId="6A46AD98" w14:textId="77777777" w:rsidR="0014780F" w:rsidRDefault="0014780F" w:rsidP="0014780F">
      <w:pPr>
        <w:pStyle w:val="TOC1"/>
        <w:numPr>
          <w:ilvl w:val="2"/>
          <w:numId w:val="21"/>
        </w:numPr>
        <w:spacing w:after="120"/>
        <w:jc w:val="both"/>
        <w:rPr>
          <w:noProof w:val="0"/>
          <w:lang w:val="en-GB"/>
        </w:rPr>
      </w:pPr>
      <w:r>
        <w:rPr>
          <w:noProof w:val="0"/>
          <w:lang w:val="en-GB"/>
        </w:rPr>
        <w:t>The CU-CP requests the CU-UP to monitor and report inactivity;</w:t>
      </w:r>
    </w:p>
    <w:p w14:paraId="347E95A2" w14:textId="77777777" w:rsidR="0014780F" w:rsidRDefault="0014780F" w:rsidP="0014780F">
      <w:pPr>
        <w:pStyle w:val="TOC1"/>
        <w:numPr>
          <w:ilvl w:val="3"/>
          <w:numId w:val="26"/>
        </w:numPr>
        <w:spacing w:after="120"/>
        <w:jc w:val="both"/>
        <w:rPr>
          <w:noProof w:val="0"/>
          <w:lang w:val="en-GB"/>
        </w:rPr>
      </w:pPr>
      <w:r>
        <w:rPr>
          <w:noProof w:val="0"/>
          <w:lang w:val="en-GB"/>
        </w:rPr>
        <w:t>If supported, the CU-UP monitors and report inactivity;</w:t>
      </w:r>
    </w:p>
    <w:p w14:paraId="773F3387" w14:textId="77777777" w:rsidR="0014780F" w:rsidRDefault="0014780F" w:rsidP="0014780F">
      <w:pPr>
        <w:pStyle w:val="TOC1"/>
        <w:numPr>
          <w:ilvl w:val="3"/>
          <w:numId w:val="26"/>
        </w:numPr>
        <w:spacing w:after="240"/>
        <w:ind w:left="2874" w:hanging="357"/>
        <w:jc w:val="both"/>
        <w:rPr>
          <w:noProof w:val="0"/>
          <w:lang w:val="en-GB"/>
        </w:rPr>
      </w:pPr>
      <w:r>
        <w:rPr>
          <w:noProof w:val="0"/>
          <w:lang w:val="en-GB"/>
        </w:rPr>
        <w:t>If not supported, the CU-UP rejects the request with appropriate cause.</w:t>
      </w:r>
    </w:p>
    <w:p w14:paraId="4EA8AD6A" w14:textId="77777777" w:rsidR="0014780F" w:rsidRDefault="0014780F" w:rsidP="0014780F">
      <w:pPr>
        <w:pStyle w:val="TOC1"/>
        <w:spacing w:after="120"/>
        <w:jc w:val="both"/>
        <w:rPr>
          <w:noProof w:val="0"/>
          <w:lang w:val="en-GB"/>
        </w:rPr>
      </w:pPr>
      <w:r>
        <w:rPr>
          <w:noProof w:val="0"/>
          <w:lang w:val="en-GB"/>
        </w:rPr>
        <w:t>Proposal</w:t>
      </w:r>
      <w:r w:rsidRPr="007B5114">
        <w:rPr>
          <w:noProof w:val="0"/>
          <w:lang w:val="en-GB"/>
        </w:rPr>
        <w:t xml:space="preserve"> </w:t>
      </w:r>
      <w:r>
        <w:rPr>
          <w:noProof w:val="0"/>
          <w:lang w:val="en-GB"/>
        </w:rPr>
        <w:t>3:</w:t>
      </w:r>
      <w:r w:rsidRPr="007B5114">
        <w:rPr>
          <w:rFonts w:asciiTheme="minorHAnsi" w:eastAsiaTheme="minorEastAsia" w:hAnsiTheme="minorHAnsi" w:cstheme="minorBidi"/>
          <w:b w:val="0"/>
          <w:noProof w:val="0"/>
          <w:sz w:val="22"/>
          <w:lang w:val="en-GB" w:eastAsia="sv-SE"/>
        </w:rPr>
        <w:tab/>
      </w:r>
      <w:r>
        <w:rPr>
          <w:noProof w:val="0"/>
          <w:lang w:val="en-GB"/>
        </w:rPr>
        <w:t>Introduce on the F1 interface support for the following functions:</w:t>
      </w:r>
    </w:p>
    <w:p w14:paraId="3811A096" w14:textId="5CF9FCA1" w:rsidR="0014780F" w:rsidRDefault="0014780F" w:rsidP="0014780F">
      <w:pPr>
        <w:pStyle w:val="TOC1"/>
        <w:numPr>
          <w:ilvl w:val="2"/>
          <w:numId w:val="21"/>
        </w:numPr>
        <w:spacing w:after="120"/>
        <w:jc w:val="both"/>
        <w:rPr>
          <w:noProof w:val="0"/>
          <w:lang w:val="en-GB"/>
        </w:rPr>
      </w:pPr>
      <w:r>
        <w:rPr>
          <w:noProof w:val="0"/>
          <w:lang w:val="en-GB"/>
        </w:rPr>
        <w:t>The CU(-CP) requests the gNB-DU to monitor and report inactivity;</w:t>
      </w:r>
    </w:p>
    <w:p w14:paraId="174A759C" w14:textId="77777777" w:rsidR="0014780F" w:rsidRDefault="0014780F" w:rsidP="00677020">
      <w:pPr>
        <w:pStyle w:val="TOC1"/>
        <w:numPr>
          <w:ilvl w:val="3"/>
          <w:numId w:val="21"/>
        </w:numPr>
        <w:spacing w:after="240"/>
        <w:jc w:val="both"/>
        <w:rPr>
          <w:noProof w:val="0"/>
          <w:lang w:val="en-GB"/>
        </w:rPr>
      </w:pPr>
      <w:r>
        <w:rPr>
          <w:noProof w:val="0"/>
          <w:lang w:val="en-GB"/>
        </w:rPr>
        <w:t>The gNB-DU monitors and reports inactivity.</w:t>
      </w:r>
    </w:p>
    <w:p w14:paraId="1E8E905B" w14:textId="35588398" w:rsidR="0014780F" w:rsidRDefault="0014780F" w:rsidP="0014780F">
      <w:pPr>
        <w:pStyle w:val="TOC1"/>
        <w:spacing w:after="120"/>
        <w:jc w:val="both"/>
        <w:rPr>
          <w:noProof w:val="0"/>
          <w:lang w:val="en-GB"/>
        </w:rPr>
      </w:pPr>
      <w:r>
        <w:rPr>
          <w:noProof w:val="0"/>
          <w:lang w:val="en-GB"/>
        </w:rPr>
        <w:t>A CR to reflect proposal 3 is provided in R3-18</w:t>
      </w:r>
      <w:r w:rsidR="008B25D1">
        <w:rPr>
          <w:noProof w:val="0"/>
          <w:lang w:val="en-GB"/>
        </w:rPr>
        <w:t>2205</w:t>
      </w:r>
      <w:r>
        <w:rPr>
          <w:noProof w:val="0"/>
          <w:lang w:val="en-GB"/>
        </w:rPr>
        <w:t xml:space="preserve">. </w:t>
      </w:r>
    </w:p>
    <w:p w14:paraId="1E2A068D" w14:textId="77777777" w:rsidR="00AE52F7" w:rsidRDefault="00AE52F7" w:rsidP="00AE52F7">
      <w:pPr>
        <w:pStyle w:val="TOC1"/>
        <w:spacing w:after="120"/>
        <w:jc w:val="both"/>
        <w:rPr>
          <w:noProof w:val="0"/>
          <w:lang w:val="en-GB"/>
        </w:rPr>
      </w:pPr>
      <w:r>
        <w:rPr>
          <w:noProof w:val="0"/>
          <w:lang w:val="en-GB"/>
        </w:rPr>
        <w:t>A CR to reflect proposal 2 will be provided later.</w:t>
      </w:r>
    </w:p>
    <w:p w14:paraId="62271A26" w14:textId="77777777" w:rsidR="0014780F" w:rsidRDefault="0014780F" w:rsidP="0014780F">
      <w:pPr>
        <w:pStyle w:val="Heading1"/>
      </w:pPr>
      <w:r>
        <w:t xml:space="preserve">Conclusion </w:t>
      </w:r>
    </w:p>
    <w:p w14:paraId="11230969" w14:textId="77777777" w:rsidR="0014780F" w:rsidRDefault="0014780F" w:rsidP="0014780F">
      <w:pPr>
        <w:pStyle w:val="TOC1"/>
        <w:spacing w:after="120"/>
        <w:ind w:left="0" w:firstLine="0"/>
        <w:jc w:val="both"/>
        <w:rPr>
          <w:b w:val="0"/>
          <w:noProof w:val="0"/>
          <w:lang w:val="en-GB"/>
        </w:rPr>
      </w:pPr>
      <w:r w:rsidRPr="00471CA5">
        <w:rPr>
          <w:b w:val="0"/>
          <w:noProof w:val="0"/>
          <w:lang w:val="en-GB"/>
        </w:rPr>
        <w:t xml:space="preserve">In this contribution, we discussed </w:t>
      </w:r>
      <w:r>
        <w:rPr>
          <w:b w:val="0"/>
          <w:noProof w:val="0"/>
          <w:lang w:val="en-GB"/>
        </w:rPr>
        <w:t>monitoring of inactivity</w:t>
      </w:r>
      <w:r w:rsidRPr="00471CA5">
        <w:rPr>
          <w:b w:val="0"/>
          <w:noProof w:val="0"/>
          <w:lang w:val="en-GB"/>
        </w:rPr>
        <w:t>.</w:t>
      </w:r>
    </w:p>
    <w:p w14:paraId="082CC050" w14:textId="77777777" w:rsidR="0014780F" w:rsidRDefault="0014780F" w:rsidP="0014780F">
      <w:pPr>
        <w:pStyle w:val="TOC1"/>
        <w:spacing w:after="240"/>
        <w:jc w:val="both"/>
        <w:rPr>
          <w:noProof w:val="0"/>
          <w:lang w:val="en-GB"/>
        </w:rPr>
      </w:pPr>
      <w:r>
        <w:rPr>
          <w:noProof w:val="0"/>
          <w:lang w:val="en-GB"/>
        </w:rPr>
        <w:t>Proposal</w:t>
      </w:r>
      <w:r w:rsidRPr="007B5114">
        <w:rPr>
          <w:noProof w:val="0"/>
          <w:lang w:val="en-GB"/>
        </w:rPr>
        <w:t xml:space="preserve"> </w:t>
      </w:r>
      <w:r>
        <w:rPr>
          <w:noProof w:val="0"/>
          <w:lang w:val="en-GB"/>
        </w:rPr>
        <w:t>1:</w:t>
      </w:r>
      <w:r w:rsidRPr="007B5114">
        <w:rPr>
          <w:rFonts w:asciiTheme="minorHAnsi" w:eastAsiaTheme="minorEastAsia" w:hAnsiTheme="minorHAnsi" w:cstheme="minorBidi"/>
          <w:b w:val="0"/>
          <w:noProof w:val="0"/>
          <w:sz w:val="22"/>
          <w:lang w:val="en-GB" w:eastAsia="sv-SE"/>
        </w:rPr>
        <w:tab/>
      </w:r>
      <w:r>
        <w:rPr>
          <w:noProof w:val="0"/>
          <w:lang w:val="en-GB"/>
        </w:rPr>
        <w:t xml:space="preserve">The gNB-DU </w:t>
      </w:r>
      <w:r w:rsidRPr="00866494">
        <w:rPr>
          <w:i/>
          <w:noProof w:val="0"/>
          <w:lang w:val="en-GB"/>
        </w:rPr>
        <w:t>shall</w:t>
      </w:r>
      <w:r>
        <w:rPr>
          <w:noProof w:val="0"/>
          <w:lang w:val="en-GB"/>
        </w:rPr>
        <w:t xml:space="preserve"> support inactivity monitoring and reporting. The CU(-UP) </w:t>
      </w:r>
      <w:r w:rsidRPr="00866494">
        <w:rPr>
          <w:i/>
          <w:noProof w:val="0"/>
          <w:lang w:val="en-GB"/>
        </w:rPr>
        <w:t>may</w:t>
      </w:r>
      <w:r>
        <w:rPr>
          <w:noProof w:val="0"/>
          <w:lang w:val="en-GB"/>
        </w:rPr>
        <w:t xml:space="preserve"> support inactivity monitoring and reporting. </w:t>
      </w:r>
    </w:p>
    <w:p w14:paraId="3FDC9E88" w14:textId="77777777" w:rsidR="0014780F" w:rsidRDefault="0014780F" w:rsidP="00934976">
      <w:pPr>
        <w:rPr>
          <w:lang w:val="en-US"/>
        </w:rPr>
      </w:pPr>
    </w:p>
    <w:p w14:paraId="5A03C37A" w14:textId="77777777" w:rsidR="0014780F" w:rsidRDefault="0014780F" w:rsidP="0014780F">
      <w:pPr>
        <w:pStyle w:val="TOC1"/>
        <w:spacing w:after="120"/>
        <w:jc w:val="both"/>
        <w:rPr>
          <w:noProof w:val="0"/>
          <w:lang w:val="en-GB"/>
        </w:rPr>
      </w:pPr>
      <w:r>
        <w:rPr>
          <w:noProof w:val="0"/>
          <w:lang w:val="en-GB"/>
        </w:rPr>
        <w:lastRenderedPageBreak/>
        <w:t>Proposal</w:t>
      </w:r>
      <w:r w:rsidRPr="007B5114">
        <w:rPr>
          <w:noProof w:val="0"/>
          <w:lang w:val="en-GB"/>
        </w:rPr>
        <w:t xml:space="preserve"> </w:t>
      </w:r>
      <w:r>
        <w:rPr>
          <w:noProof w:val="0"/>
          <w:lang w:val="en-GB"/>
        </w:rPr>
        <w:t>2:</w:t>
      </w:r>
      <w:r w:rsidRPr="007B5114">
        <w:rPr>
          <w:rFonts w:asciiTheme="minorHAnsi" w:eastAsiaTheme="minorEastAsia" w:hAnsiTheme="minorHAnsi" w:cstheme="minorBidi"/>
          <w:b w:val="0"/>
          <w:noProof w:val="0"/>
          <w:sz w:val="22"/>
          <w:lang w:val="en-GB" w:eastAsia="sv-SE"/>
        </w:rPr>
        <w:tab/>
      </w:r>
      <w:r>
        <w:rPr>
          <w:noProof w:val="0"/>
          <w:lang w:val="en-GB"/>
        </w:rPr>
        <w:t>Introduce on the E1 interface support for the following functions:</w:t>
      </w:r>
    </w:p>
    <w:p w14:paraId="5D6F146F" w14:textId="77777777" w:rsidR="0014780F" w:rsidRDefault="0014780F" w:rsidP="0014780F">
      <w:pPr>
        <w:pStyle w:val="TOC1"/>
        <w:numPr>
          <w:ilvl w:val="2"/>
          <w:numId w:val="21"/>
        </w:numPr>
        <w:spacing w:after="120"/>
        <w:jc w:val="both"/>
        <w:rPr>
          <w:noProof w:val="0"/>
          <w:lang w:val="en-GB"/>
        </w:rPr>
      </w:pPr>
      <w:r>
        <w:rPr>
          <w:noProof w:val="0"/>
          <w:lang w:val="en-GB"/>
        </w:rPr>
        <w:t>The CU-CP requests the CU-UP to monitor and report inactivity;</w:t>
      </w:r>
    </w:p>
    <w:p w14:paraId="096FBC7F" w14:textId="77777777" w:rsidR="0014780F" w:rsidRDefault="0014780F" w:rsidP="0014780F">
      <w:pPr>
        <w:pStyle w:val="TOC1"/>
        <w:numPr>
          <w:ilvl w:val="3"/>
          <w:numId w:val="26"/>
        </w:numPr>
        <w:spacing w:after="120"/>
        <w:jc w:val="both"/>
        <w:rPr>
          <w:noProof w:val="0"/>
          <w:lang w:val="en-GB"/>
        </w:rPr>
      </w:pPr>
      <w:r>
        <w:rPr>
          <w:noProof w:val="0"/>
          <w:lang w:val="en-GB"/>
        </w:rPr>
        <w:t>If supported, the CU-UP monitors and report inactivity;</w:t>
      </w:r>
    </w:p>
    <w:p w14:paraId="1E9F0345" w14:textId="77777777" w:rsidR="0014780F" w:rsidRDefault="0014780F" w:rsidP="0014780F">
      <w:pPr>
        <w:pStyle w:val="TOC1"/>
        <w:numPr>
          <w:ilvl w:val="3"/>
          <w:numId w:val="26"/>
        </w:numPr>
        <w:spacing w:after="240"/>
        <w:ind w:left="2874" w:hanging="357"/>
        <w:jc w:val="both"/>
        <w:rPr>
          <w:noProof w:val="0"/>
          <w:lang w:val="en-GB"/>
        </w:rPr>
      </w:pPr>
      <w:r>
        <w:rPr>
          <w:noProof w:val="0"/>
          <w:lang w:val="en-GB"/>
        </w:rPr>
        <w:t>If not supported, the CU-UP rejects the request with appropriate cause.</w:t>
      </w:r>
    </w:p>
    <w:p w14:paraId="554D2B35" w14:textId="77777777" w:rsidR="0014780F" w:rsidRDefault="0014780F" w:rsidP="0014780F">
      <w:pPr>
        <w:pStyle w:val="TOC1"/>
        <w:spacing w:after="120"/>
        <w:jc w:val="both"/>
        <w:rPr>
          <w:noProof w:val="0"/>
          <w:lang w:val="en-GB"/>
        </w:rPr>
      </w:pPr>
      <w:r>
        <w:rPr>
          <w:noProof w:val="0"/>
          <w:lang w:val="en-GB"/>
        </w:rPr>
        <w:t>Proposal</w:t>
      </w:r>
      <w:r w:rsidRPr="007B5114">
        <w:rPr>
          <w:noProof w:val="0"/>
          <w:lang w:val="en-GB"/>
        </w:rPr>
        <w:t xml:space="preserve"> </w:t>
      </w:r>
      <w:r>
        <w:rPr>
          <w:noProof w:val="0"/>
          <w:lang w:val="en-GB"/>
        </w:rPr>
        <w:t>3:</w:t>
      </w:r>
      <w:r w:rsidRPr="007B5114">
        <w:rPr>
          <w:rFonts w:asciiTheme="minorHAnsi" w:eastAsiaTheme="minorEastAsia" w:hAnsiTheme="minorHAnsi" w:cstheme="minorBidi"/>
          <w:b w:val="0"/>
          <w:noProof w:val="0"/>
          <w:sz w:val="22"/>
          <w:lang w:val="en-GB" w:eastAsia="sv-SE"/>
        </w:rPr>
        <w:tab/>
      </w:r>
      <w:r>
        <w:rPr>
          <w:noProof w:val="0"/>
          <w:lang w:val="en-GB"/>
        </w:rPr>
        <w:t>Introduce on the F1 interface support for the following functions:</w:t>
      </w:r>
    </w:p>
    <w:p w14:paraId="0C7F727D" w14:textId="77777777" w:rsidR="0014780F" w:rsidRDefault="0014780F" w:rsidP="0014780F">
      <w:pPr>
        <w:pStyle w:val="TOC1"/>
        <w:numPr>
          <w:ilvl w:val="2"/>
          <w:numId w:val="21"/>
        </w:numPr>
        <w:spacing w:after="120"/>
        <w:jc w:val="both"/>
        <w:rPr>
          <w:noProof w:val="0"/>
          <w:lang w:val="en-GB"/>
        </w:rPr>
      </w:pPr>
      <w:r>
        <w:rPr>
          <w:noProof w:val="0"/>
          <w:lang w:val="en-GB"/>
        </w:rPr>
        <w:t>The gNB-CU(-CP) requests the gNB-DU to monitor and report inactivity;</w:t>
      </w:r>
    </w:p>
    <w:p w14:paraId="1057DDE9" w14:textId="77777777" w:rsidR="0014780F" w:rsidRDefault="0014780F" w:rsidP="00677020">
      <w:pPr>
        <w:pStyle w:val="TOC1"/>
        <w:numPr>
          <w:ilvl w:val="3"/>
          <w:numId w:val="21"/>
        </w:numPr>
        <w:spacing w:after="240"/>
        <w:jc w:val="both"/>
        <w:rPr>
          <w:noProof w:val="0"/>
          <w:lang w:val="en-GB"/>
        </w:rPr>
      </w:pPr>
      <w:r>
        <w:rPr>
          <w:noProof w:val="0"/>
          <w:lang w:val="en-GB"/>
        </w:rPr>
        <w:t>The gNB-DU monitors and reports inactivity.</w:t>
      </w:r>
    </w:p>
    <w:p w14:paraId="15E8E57A" w14:textId="46FEB249" w:rsidR="0014780F" w:rsidRDefault="0014780F" w:rsidP="0014780F">
      <w:pPr>
        <w:pStyle w:val="TOC1"/>
        <w:spacing w:after="120"/>
        <w:jc w:val="both"/>
        <w:rPr>
          <w:noProof w:val="0"/>
          <w:lang w:val="en-GB"/>
        </w:rPr>
      </w:pPr>
      <w:r>
        <w:rPr>
          <w:noProof w:val="0"/>
          <w:lang w:val="en-GB"/>
        </w:rPr>
        <w:t>A CR to reflect proposal 3 is provided in R3-18</w:t>
      </w:r>
      <w:r w:rsidR="008B25D1">
        <w:rPr>
          <w:noProof w:val="0"/>
          <w:lang w:val="en-GB"/>
        </w:rPr>
        <w:t>2205</w:t>
      </w:r>
      <w:r>
        <w:rPr>
          <w:noProof w:val="0"/>
          <w:lang w:val="en-GB"/>
        </w:rPr>
        <w:t xml:space="preserve">. </w:t>
      </w:r>
    </w:p>
    <w:p w14:paraId="22B824C8" w14:textId="30EB85EB" w:rsidR="0014780F" w:rsidRDefault="0014780F" w:rsidP="0014780F">
      <w:pPr>
        <w:pStyle w:val="TOC1"/>
        <w:spacing w:after="120"/>
        <w:jc w:val="both"/>
        <w:rPr>
          <w:noProof w:val="0"/>
          <w:lang w:val="en-GB"/>
        </w:rPr>
      </w:pPr>
      <w:r>
        <w:rPr>
          <w:noProof w:val="0"/>
          <w:lang w:val="en-GB"/>
        </w:rPr>
        <w:t xml:space="preserve">A CR to reflect proposal 2 will </w:t>
      </w:r>
      <w:r w:rsidR="00AE52F7">
        <w:rPr>
          <w:noProof w:val="0"/>
          <w:lang w:val="en-GB"/>
        </w:rPr>
        <w:t>be provided later</w:t>
      </w:r>
      <w:r>
        <w:rPr>
          <w:noProof w:val="0"/>
          <w:lang w:val="en-GB"/>
        </w:rPr>
        <w:t>.</w:t>
      </w:r>
    </w:p>
    <w:p w14:paraId="2963462E" w14:textId="7F3BE846" w:rsidR="0014780F" w:rsidRDefault="0014780F" w:rsidP="0014780F">
      <w:pPr>
        <w:pStyle w:val="Heading1"/>
      </w:pPr>
      <w:r>
        <w:t>References</w:t>
      </w:r>
    </w:p>
    <w:p w14:paraId="24C99CCB" w14:textId="1A4B6E8D" w:rsidR="002A1116" w:rsidRDefault="002A1116" w:rsidP="00D835C9">
      <w:pPr>
        <w:pStyle w:val="Reference"/>
      </w:pPr>
      <w:r>
        <w:t>R3-18</w:t>
      </w:r>
      <w:r w:rsidR="00D835C9">
        <w:t>1405</w:t>
      </w:r>
      <w:r>
        <w:t xml:space="preserve">, </w:t>
      </w:r>
      <w:r w:rsidR="00D835C9" w:rsidRPr="00D835C9">
        <w:t>Summary of offline discussion on User Inactivity Monitoring</w:t>
      </w:r>
      <w:r>
        <w:t xml:space="preserve">, </w:t>
      </w:r>
      <w:r w:rsidR="00D835C9">
        <w:t>NTT Docomo</w:t>
      </w:r>
    </w:p>
    <w:p w14:paraId="384AC422" w14:textId="176172AC" w:rsidR="0014780F" w:rsidRPr="0014780F" w:rsidRDefault="0014780F" w:rsidP="0014780F"/>
    <w:p w14:paraId="021A93F0" w14:textId="77777777" w:rsidR="003739D8" w:rsidRPr="00D1145C" w:rsidRDefault="003739D8" w:rsidP="00D1145C">
      <w:pPr>
        <w:ind w:firstLine="567"/>
        <w:rPr>
          <w:lang w:eastAsia="ja-JP"/>
        </w:rPr>
      </w:pPr>
    </w:p>
    <w:sectPr w:rsidR="003739D8" w:rsidRPr="00D1145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2EE53" w14:textId="77777777" w:rsidR="00505169" w:rsidRDefault="00505169">
      <w:r>
        <w:separator/>
      </w:r>
    </w:p>
  </w:endnote>
  <w:endnote w:type="continuationSeparator" w:id="0">
    <w:p w14:paraId="6DB53455" w14:textId="77777777" w:rsidR="00505169" w:rsidRDefault="00505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5286DEA8" w:rsidR="002A1116" w:rsidRDefault="002A111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5374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5374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BB938" w14:textId="77777777" w:rsidR="00505169" w:rsidRDefault="00505169">
      <w:r>
        <w:separator/>
      </w:r>
    </w:p>
  </w:footnote>
  <w:footnote w:type="continuationSeparator" w:id="0">
    <w:p w14:paraId="1E3FF7FC" w14:textId="77777777" w:rsidR="00505169" w:rsidRDefault="00505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2A1116" w:rsidRDefault="002A111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6FA5DDA"/>
    <w:multiLevelType w:val="hybridMultilevel"/>
    <w:tmpl w:val="93E403D8"/>
    <w:lvl w:ilvl="0" w:tplc="ED6AB5D4">
      <w:start w:val="1"/>
      <w:numFmt w:val="bullet"/>
      <w:lvlText w:val="–"/>
      <w:lvlJc w:val="left"/>
      <w:pPr>
        <w:tabs>
          <w:tab w:val="num" w:pos="720"/>
        </w:tabs>
        <w:ind w:left="720" w:hanging="360"/>
      </w:pPr>
      <w:rPr>
        <w:rFonts w:ascii="Arial" w:hAnsi="Arial" w:hint="default"/>
      </w:rPr>
    </w:lvl>
    <w:lvl w:ilvl="1" w:tplc="FB6623DE">
      <w:start w:val="1"/>
      <w:numFmt w:val="bullet"/>
      <w:lvlText w:val="–"/>
      <w:lvlJc w:val="left"/>
      <w:pPr>
        <w:tabs>
          <w:tab w:val="num" w:pos="1440"/>
        </w:tabs>
        <w:ind w:left="1440" w:hanging="360"/>
      </w:pPr>
      <w:rPr>
        <w:rFonts w:ascii="Arial" w:hAnsi="Arial" w:hint="default"/>
      </w:rPr>
    </w:lvl>
    <w:lvl w:ilvl="2" w:tplc="63D42EB6">
      <w:start w:val="61"/>
      <w:numFmt w:val="bullet"/>
      <w:lvlText w:val="•"/>
      <w:lvlJc w:val="left"/>
      <w:pPr>
        <w:tabs>
          <w:tab w:val="num" w:pos="2160"/>
        </w:tabs>
        <w:ind w:left="2160" w:hanging="360"/>
      </w:pPr>
      <w:rPr>
        <w:rFonts w:ascii="Arial" w:hAnsi="Arial" w:hint="default"/>
      </w:rPr>
    </w:lvl>
    <w:lvl w:ilvl="3" w:tplc="61C2ED0A" w:tentative="1">
      <w:start w:val="1"/>
      <w:numFmt w:val="bullet"/>
      <w:lvlText w:val="–"/>
      <w:lvlJc w:val="left"/>
      <w:pPr>
        <w:tabs>
          <w:tab w:val="num" w:pos="2880"/>
        </w:tabs>
        <w:ind w:left="2880" w:hanging="360"/>
      </w:pPr>
      <w:rPr>
        <w:rFonts w:ascii="Arial" w:hAnsi="Arial" w:hint="default"/>
      </w:rPr>
    </w:lvl>
    <w:lvl w:ilvl="4" w:tplc="369AFEB2" w:tentative="1">
      <w:start w:val="1"/>
      <w:numFmt w:val="bullet"/>
      <w:lvlText w:val="–"/>
      <w:lvlJc w:val="left"/>
      <w:pPr>
        <w:tabs>
          <w:tab w:val="num" w:pos="3600"/>
        </w:tabs>
        <w:ind w:left="3600" w:hanging="360"/>
      </w:pPr>
      <w:rPr>
        <w:rFonts w:ascii="Arial" w:hAnsi="Arial" w:hint="default"/>
      </w:rPr>
    </w:lvl>
    <w:lvl w:ilvl="5" w:tplc="9B84B63A" w:tentative="1">
      <w:start w:val="1"/>
      <w:numFmt w:val="bullet"/>
      <w:lvlText w:val="–"/>
      <w:lvlJc w:val="left"/>
      <w:pPr>
        <w:tabs>
          <w:tab w:val="num" w:pos="4320"/>
        </w:tabs>
        <w:ind w:left="4320" w:hanging="360"/>
      </w:pPr>
      <w:rPr>
        <w:rFonts w:ascii="Arial" w:hAnsi="Arial" w:hint="default"/>
      </w:rPr>
    </w:lvl>
    <w:lvl w:ilvl="6" w:tplc="74A8E77A" w:tentative="1">
      <w:start w:val="1"/>
      <w:numFmt w:val="bullet"/>
      <w:lvlText w:val="–"/>
      <w:lvlJc w:val="left"/>
      <w:pPr>
        <w:tabs>
          <w:tab w:val="num" w:pos="5040"/>
        </w:tabs>
        <w:ind w:left="5040" w:hanging="360"/>
      </w:pPr>
      <w:rPr>
        <w:rFonts w:ascii="Arial" w:hAnsi="Arial" w:hint="default"/>
      </w:rPr>
    </w:lvl>
    <w:lvl w:ilvl="7" w:tplc="E57E9D12" w:tentative="1">
      <w:start w:val="1"/>
      <w:numFmt w:val="bullet"/>
      <w:lvlText w:val="–"/>
      <w:lvlJc w:val="left"/>
      <w:pPr>
        <w:tabs>
          <w:tab w:val="num" w:pos="5760"/>
        </w:tabs>
        <w:ind w:left="5760" w:hanging="360"/>
      </w:pPr>
      <w:rPr>
        <w:rFonts w:ascii="Arial" w:hAnsi="Arial" w:hint="default"/>
      </w:rPr>
    </w:lvl>
    <w:lvl w:ilvl="8" w:tplc="4320909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8100260"/>
    <w:multiLevelType w:val="hybridMultilevel"/>
    <w:tmpl w:val="7842139E"/>
    <w:lvl w:ilvl="0" w:tplc="041D0017">
      <w:start w:val="1"/>
      <w:numFmt w:val="lowerLetter"/>
      <w:lvlText w:val="%1)"/>
      <w:lvlJc w:val="left"/>
      <w:pPr>
        <w:tabs>
          <w:tab w:val="num" w:pos="720"/>
        </w:tabs>
        <w:ind w:left="720" w:hanging="360"/>
      </w:pPr>
    </w:lvl>
    <w:lvl w:ilvl="1" w:tplc="66AC6142">
      <w:start w:val="1"/>
      <w:numFmt w:val="lowerLetter"/>
      <w:lvlText w:val="%2."/>
      <w:lvlJc w:val="left"/>
      <w:pPr>
        <w:tabs>
          <w:tab w:val="num" w:pos="1440"/>
        </w:tabs>
        <w:ind w:left="1440" w:hanging="360"/>
      </w:pPr>
    </w:lvl>
    <w:lvl w:ilvl="2" w:tplc="8ADED6B8" w:tentative="1">
      <w:start w:val="1"/>
      <w:numFmt w:val="lowerLetter"/>
      <w:lvlText w:val="%3."/>
      <w:lvlJc w:val="left"/>
      <w:pPr>
        <w:tabs>
          <w:tab w:val="num" w:pos="2160"/>
        </w:tabs>
        <w:ind w:left="2160" w:hanging="360"/>
      </w:pPr>
    </w:lvl>
    <w:lvl w:ilvl="3" w:tplc="11DC9C6E" w:tentative="1">
      <w:start w:val="1"/>
      <w:numFmt w:val="lowerLetter"/>
      <w:lvlText w:val="%4."/>
      <w:lvlJc w:val="left"/>
      <w:pPr>
        <w:tabs>
          <w:tab w:val="num" w:pos="2880"/>
        </w:tabs>
        <w:ind w:left="2880" w:hanging="360"/>
      </w:pPr>
    </w:lvl>
    <w:lvl w:ilvl="4" w:tplc="B1F6E250" w:tentative="1">
      <w:start w:val="1"/>
      <w:numFmt w:val="lowerLetter"/>
      <w:lvlText w:val="%5."/>
      <w:lvlJc w:val="left"/>
      <w:pPr>
        <w:tabs>
          <w:tab w:val="num" w:pos="3600"/>
        </w:tabs>
        <w:ind w:left="3600" w:hanging="360"/>
      </w:pPr>
    </w:lvl>
    <w:lvl w:ilvl="5" w:tplc="DB54B1BC" w:tentative="1">
      <w:start w:val="1"/>
      <w:numFmt w:val="lowerLetter"/>
      <w:lvlText w:val="%6."/>
      <w:lvlJc w:val="left"/>
      <w:pPr>
        <w:tabs>
          <w:tab w:val="num" w:pos="4320"/>
        </w:tabs>
        <w:ind w:left="4320" w:hanging="360"/>
      </w:pPr>
    </w:lvl>
    <w:lvl w:ilvl="6" w:tplc="04D8325A" w:tentative="1">
      <w:start w:val="1"/>
      <w:numFmt w:val="lowerLetter"/>
      <w:lvlText w:val="%7."/>
      <w:lvlJc w:val="left"/>
      <w:pPr>
        <w:tabs>
          <w:tab w:val="num" w:pos="5040"/>
        </w:tabs>
        <w:ind w:left="5040" w:hanging="360"/>
      </w:pPr>
    </w:lvl>
    <w:lvl w:ilvl="7" w:tplc="00400C0E" w:tentative="1">
      <w:start w:val="1"/>
      <w:numFmt w:val="lowerLetter"/>
      <w:lvlText w:val="%8."/>
      <w:lvlJc w:val="left"/>
      <w:pPr>
        <w:tabs>
          <w:tab w:val="num" w:pos="5760"/>
        </w:tabs>
        <w:ind w:left="5760" w:hanging="360"/>
      </w:pPr>
    </w:lvl>
    <w:lvl w:ilvl="8" w:tplc="CFA8DF50" w:tentative="1">
      <w:start w:val="1"/>
      <w:numFmt w:val="lowerLetter"/>
      <w:lvlText w:val="%9."/>
      <w:lvlJc w:val="left"/>
      <w:pPr>
        <w:tabs>
          <w:tab w:val="num" w:pos="6480"/>
        </w:tabs>
        <w:ind w:left="6480" w:hanging="360"/>
      </w:pPr>
    </w:lvl>
  </w:abstractNum>
  <w:abstractNum w:abstractNumId="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C7796D"/>
    <w:multiLevelType w:val="hybridMultilevel"/>
    <w:tmpl w:val="47A035F6"/>
    <w:lvl w:ilvl="0" w:tplc="9BA21712">
      <w:start w:val="1"/>
      <w:numFmt w:val="lowerLetter"/>
      <w:lvlText w:val="%1."/>
      <w:lvlJc w:val="left"/>
      <w:pPr>
        <w:tabs>
          <w:tab w:val="num" w:pos="720"/>
        </w:tabs>
        <w:ind w:left="720" w:hanging="360"/>
      </w:pPr>
    </w:lvl>
    <w:lvl w:ilvl="1" w:tplc="66AC6142">
      <w:start w:val="1"/>
      <w:numFmt w:val="lowerLetter"/>
      <w:lvlText w:val="%2."/>
      <w:lvlJc w:val="left"/>
      <w:pPr>
        <w:tabs>
          <w:tab w:val="num" w:pos="1440"/>
        </w:tabs>
        <w:ind w:left="1440" w:hanging="360"/>
      </w:pPr>
    </w:lvl>
    <w:lvl w:ilvl="2" w:tplc="8ADED6B8" w:tentative="1">
      <w:start w:val="1"/>
      <w:numFmt w:val="lowerLetter"/>
      <w:lvlText w:val="%3."/>
      <w:lvlJc w:val="left"/>
      <w:pPr>
        <w:tabs>
          <w:tab w:val="num" w:pos="2160"/>
        </w:tabs>
        <w:ind w:left="2160" w:hanging="360"/>
      </w:pPr>
    </w:lvl>
    <w:lvl w:ilvl="3" w:tplc="11DC9C6E" w:tentative="1">
      <w:start w:val="1"/>
      <w:numFmt w:val="lowerLetter"/>
      <w:lvlText w:val="%4."/>
      <w:lvlJc w:val="left"/>
      <w:pPr>
        <w:tabs>
          <w:tab w:val="num" w:pos="2880"/>
        </w:tabs>
        <w:ind w:left="2880" w:hanging="360"/>
      </w:pPr>
    </w:lvl>
    <w:lvl w:ilvl="4" w:tplc="B1F6E250" w:tentative="1">
      <w:start w:val="1"/>
      <w:numFmt w:val="lowerLetter"/>
      <w:lvlText w:val="%5."/>
      <w:lvlJc w:val="left"/>
      <w:pPr>
        <w:tabs>
          <w:tab w:val="num" w:pos="3600"/>
        </w:tabs>
        <w:ind w:left="3600" w:hanging="360"/>
      </w:pPr>
    </w:lvl>
    <w:lvl w:ilvl="5" w:tplc="DB54B1BC" w:tentative="1">
      <w:start w:val="1"/>
      <w:numFmt w:val="lowerLetter"/>
      <w:lvlText w:val="%6."/>
      <w:lvlJc w:val="left"/>
      <w:pPr>
        <w:tabs>
          <w:tab w:val="num" w:pos="4320"/>
        </w:tabs>
        <w:ind w:left="4320" w:hanging="360"/>
      </w:pPr>
    </w:lvl>
    <w:lvl w:ilvl="6" w:tplc="04D8325A" w:tentative="1">
      <w:start w:val="1"/>
      <w:numFmt w:val="lowerLetter"/>
      <w:lvlText w:val="%7."/>
      <w:lvlJc w:val="left"/>
      <w:pPr>
        <w:tabs>
          <w:tab w:val="num" w:pos="5040"/>
        </w:tabs>
        <w:ind w:left="5040" w:hanging="360"/>
      </w:pPr>
    </w:lvl>
    <w:lvl w:ilvl="7" w:tplc="00400C0E" w:tentative="1">
      <w:start w:val="1"/>
      <w:numFmt w:val="lowerLetter"/>
      <w:lvlText w:val="%8."/>
      <w:lvlJc w:val="left"/>
      <w:pPr>
        <w:tabs>
          <w:tab w:val="num" w:pos="5760"/>
        </w:tabs>
        <w:ind w:left="5760" w:hanging="360"/>
      </w:pPr>
    </w:lvl>
    <w:lvl w:ilvl="8" w:tplc="CFA8DF50" w:tentative="1">
      <w:start w:val="1"/>
      <w:numFmt w:val="lowerLetter"/>
      <w:lvlText w:val="%9."/>
      <w:lvlJc w:val="left"/>
      <w:pPr>
        <w:tabs>
          <w:tab w:val="num" w:pos="6480"/>
        </w:tabs>
        <w:ind w:left="6480" w:hanging="360"/>
      </w:pPr>
    </w:lvl>
  </w:abstractNum>
  <w:abstractNum w:abstractNumId="13" w15:restartNumberingAfterBreak="0">
    <w:nsid w:val="485F319C"/>
    <w:multiLevelType w:val="hybridMultilevel"/>
    <w:tmpl w:val="8AFEC224"/>
    <w:lvl w:ilvl="0" w:tplc="E2D009A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E56CB"/>
    <w:multiLevelType w:val="hybridMultilevel"/>
    <w:tmpl w:val="D07A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8B70D65"/>
    <w:multiLevelType w:val="hybridMultilevel"/>
    <w:tmpl w:val="F954BEEE"/>
    <w:lvl w:ilvl="0" w:tplc="059204A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1D0005">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D9692C"/>
    <w:multiLevelType w:val="hybridMultilevel"/>
    <w:tmpl w:val="198690E0"/>
    <w:lvl w:ilvl="0" w:tplc="059204A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1D0005">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30008F"/>
    <w:multiLevelType w:val="hybridMultilevel"/>
    <w:tmpl w:val="1B500B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142701"/>
    <w:multiLevelType w:val="hybridMultilevel"/>
    <w:tmpl w:val="21D68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EE7821"/>
    <w:multiLevelType w:val="hybridMultilevel"/>
    <w:tmpl w:val="983CBBAC"/>
    <w:lvl w:ilvl="0" w:tplc="5BB23ADA">
      <w:start w:val="1"/>
      <w:numFmt w:val="bullet"/>
      <w:lvlText w:val="•"/>
      <w:lvlJc w:val="left"/>
      <w:pPr>
        <w:tabs>
          <w:tab w:val="num" w:pos="720"/>
        </w:tabs>
        <w:ind w:left="720" w:hanging="360"/>
      </w:pPr>
      <w:rPr>
        <w:rFonts w:ascii="Arial" w:hAnsi="Arial" w:hint="default"/>
      </w:rPr>
    </w:lvl>
    <w:lvl w:ilvl="1" w:tplc="1E54E8FA" w:tentative="1">
      <w:start w:val="1"/>
      <w:numFmt w:val="bullet"/>
      <w:lvlText w:val="•"/>
      <w:lvlJc w:val="left"/>
      <w:pPr>
        <w:tabs>
          <w:tab w:val="num" w:pos="1440"/>
        </w:tabs>
        <w:ind w:left="1440" w:hanging="360"/>
      </w:pPr>
      <w:rPr>
        <w:rFonts w:ascii="Arial" w:hAnsi="Arial" w:hint="default"/>
      </w:rPr>
    </w:lvl>
    <w:lvl w:ilvl="2" w:tplc="4050BB62">
      <w:start w:val="1"/>
      <w:numFmt w:val="bullet"/>
      <w:lvlText w:val="•"/>
      <w:lvlJc w:val="left"/>
      <w:pPr>
        <w:tabs>
          <w:tab w:val="num" w:pos="2160"/>
        </w:tabs>
        <w:ind w:left="2160" w:hanging="360"/>
      </w:pPr>
      <w:rPr>
        <w:rFonts w:ascii="Arial" w:hAnsi="Arial" w:hint="default"/>
      </w:rPr>
    </w:lvl>
    <w:lvl w:ilvl="3" w:tplc="354AA804" w:tentative="1">
      <w:start w:val="1"/>
      <w:numFmt w:val="bullet"/>
      <w:lvlText w:val="•"/>
      <w:lvlJc w:val="left"/>
      <w:pPr>
        <w:tabs>
          <w:tab w:val="num" w:pos="2880"/>
        </w:tabs>
        <w:ind w:left="2880" w:hanging="360"/>
      </w:pPr>
      <w:rPr>
        <w:rFonts w:ascii="Arial" w:hAnsi="Arial" w:hint="default"/>
      </w:rPr>
    </w:lvl>
    <w:lvl w:ilvl="4" w:tplc="317A643E" w:tentative="1">
      <w:start w:val="1"/>
      <w:numFmt w:val="bullet"/>
      <w:lvlText w:val="•"/>
      <w:lvlJc w:val="left"/>
      <w:pPr>
        <w:tabs>
          <w:tab w:val="num" w:pos="3600"/>
        </w:tabs>
        <w:ind w:left="3600" w:hanging="360"/>
      </w:pPr>
      <w:rPr>
        <w:rFonts w:ascii="Arial" w:hAnsi="Arial" w:hint="default"/>
      </w:rPr>
    </w:lvl>
    <w:lvl w:ilvl="5" w:tplc="327ACFE2" w:tentative="1">
      <w:start w:val="1"/>
      <w:numFmt w:val="bullet"/>
      <w:lvlText w:val="•"/>
      <w:lvlJc w:val="left"/>
      <w:pPr>
        <w:tabs>
          <w:tab w:val="num" w:pos="4320"/>
        </w:tabs>
        <w:ind w:left="4320" w:hanging="360"/>
      </w:pPr>
      <w:rPr>
        <w:rFonts w:ascii="Arial" w:hAnsi="Arial" w:hint="default"/>
      </w:rPr>
    </w:lvl>
    <w:lvl w:ilvl="6" w:tplc="B7D87556" w:tentative="1">
      <w:start w:val="1"/>
      <w:numFmt w:val="bullet"/>
      <w:lvlText w:val="•"/>
      <w:lvlJc w:val="left"/>
      <w:pPr>
        <w:tabs>
          <w:tab w:val="num" w:pos="5040"/>
        </w:tabs>
        <w:ind w:left="5040" w:hanging="360"/>
      </w:pPr>
      <w:rPr>
        <w:rFonts w:ascii="Arial" w:hAnsi="Arial" w:hint="default"/>
      </w:rPr>
    </w:lvl>
    <w:lvl w:ilvl="7" w:tplc="D7905266" w:tentative="1">
      <w:start w:val="1"/>
      <w:numFmt w:val="bullet"/>
      <w:lvlText w:val="•"/>
      <w:lvlJc w:val="left"/>
      <w:pPr>
        <w:tabs>
          <w:tab w:val="num" w:pos="5760"/>
        </w:tabs>
        <w:ind w:left="5760" w:hanging="360"/>
      </w:pPr>
      <w:rPr>
        <w:rFonts w:ascii="Arial" w:hAnsi="Arial" w:hint="default"/>
      </w:rPr>
    </w:lvl>
    <w:lvl w:ilvl="8" w:tplc="8D30FC70"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5"/>
  </w:num>
  <w:num w:numId="3">
    <w:abstractNumId w:val="9"/>
  </w:num>
  <w:num w:numId="4">
    <w:abstractNumId w:val="10"/>
  </w:num>
  <w:num w:numId="5">
    <w:abstractNumId w:val="4"/>
  </w:num>
  <w:num w:numId="6">
    <w:abstractNumId w:val="11"/>
  </w:num>
  <w:num w:numId="7">
    <w:abstractNumId w:val="19"/>
  </w:num>
  <w:num w:numId="8">
    <w:abstractNumId w:val="5"/>
  </w:num>
  <w:num w:numId="9">
    <w:abstractNumId w:val="17"/>
  </w:num>
  <w:num w:numId="10">
    <w:abstractNumId w:val="20"/>
  </w:num>
  <w:num w:numId="11">
    <w:abstractNumId w:val="18"/>
  </w:num>
  <w:num w:numId="12">
    <w:abstractNumId w:val="3"/>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6"/>
  </w:num>
  <w:num w:numId="15">
    <w:abstractNumId w:val="16"/>
  </w:num>
  <w:num w:numId="16">
    <w:abstractNumId w:val="14"/>
  </w:num>
  <w:num w:numId="17">
    <w:abstractNumId w:val="24"/>
  </w:num>
  <w:num w:numId="18">
    <w:abstractNumId w:val="23"/>
  </w:num>
  <w:num w:numId="19">
    <w:abstractNumId w:val="13"/>
  </w:num>
  <w:num w:numId="20">
    <w:abstractNumId w:val="0"/>
  </w:num>
  <w:num w:numId="21">
    <w:abstractNumId w:val="22"/>
  </w:num>
  <w:num w:numId="22">
    <w:abstractNumId w:val="12"/>
  </w:num>
  <w:num w:numId="23">
    <w:abstractNumId w:val="8"/>
  </w:num>
  <w:num w:numId="24">
    <w:abstractNumId w:val="25"/>
  </w:num>
  <w:num w:numId="25">
    <w:abstractNumId w:val="7"/>
  </w:num>
  <w:num w:numId="26">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6446"/>
    <w:rsid w:val="00006896"/>
    <w:rsid w:val="00006B58"/>
    <w:rsid w:val="00006EF6"/>
    <w:rsid w:val="00007CDC"/>
    <w:rsid w:val="00011B28"/>
    <w:rsid w:val="000135E0"/>
    <w:rsid w:val="000158D2"/>
    <w:rsid w:val="00015D15"/>
    <w:rsid w:val="000167E2"/>
    <w:rsid w:val="000179D1"/>
    <w:rsid w:val="000212A2"/>
    <w:rsid w:val="0002564D"/>
    <w:rsid w:val="00025ECA"/>
    <w:rsid w:val="00027939"/>
    <w:rsid w:val="000325B8"/>
    <w:rsid w:val="0003369F"/>
    <w:rsid w:val="00034C15"/>
    <w:rsid w:val="00035648"/>
    <w:rsid w:val="00035B55"/>
    <w:rsid w:val="00036BA1"/>
    <w:rsid w:val="00041145"/>
    <w:rsid w:val="000422E2"/>
    <w:rsid w:val="00042F22"/>
    <w:rsid w:val="0004367E"/>
    <w:rsid w:val="000444EF"/>
    <w:rsid w:val="00044EC4"/>
    <w:rsid w:val="000461C1"/>
    <w:rsid w:val="000505C9"/>
    <w:rsid w:val="0005153D"/>
    <w:rsid w:val="000529B9"/>
    <w:rsid w:val="00052A07"/>
    <w:rsid w:val="000534E3"/>
    <w:rsid w:val="0005606A"/>
    <w:rsid w:val="00057117"/>
    <w:rsid w:val="00057CF8"/>
    <w:rsid w:val="000604AA"/>
    <w:rsid w:val="000609D0"/>
    <w:rsid w:val="0006152B"/>
    <w:rsid w:val="000616E7"/>
    <w:rsid w:val="000646B2"/>
    <w:rsid w:val="0006487E"/>
    <w:rsid w:val="00064C22"/>
    <w:rsid w:val="00065149"/>
    <w:rsid w:val="00065809"/>
    <w:rsid w:val="000659CB"/>
    <w:rsid w:val="00065E1A"/>
    <w:rsid w:val="00067877"/>
    <w:rsid w:val="00071A1C"/>
    <w:rsid w:val="000738B3"/>
    <w:rsid w:val="0007519E"/>
    <w:rsid w:val="00077E5F"/>
    <w:rsid w:val="0008036A"/>
    <w:rsid w:val="00081AE6"/>
    <w:rsid w:val="0008383B"/>
    <w:rsid w:val="000855EB"/>
    <w:rsid w:val="00085B52"/>
    <w:rsid w:val="00085C30"/>
    <w:rsid w:val="000866F2"/>
    <w:rsid w:val="00086758"/>
    <w:rsid w:val="00086BB7"/>
    <w:rsid w:val="0008779E"/>
    <w:rsid w:val="0009009F"/>
    <w:rsid w:val="00091557"/>
    <w:rsid w:val="000924C1"/>
    <w:rsid w:val="000924F0"/>
    <w:rsid w:val="00093474"/>
    <w:rsid w:val="0009510F"/>
    <w:rsid w:val="00097AAF"/>
    <w:rsid w:val="00097E9F"/>
    <w:rsid w:val="000A07F6"/>
    <w:rsid w:val="000A1B7B"/>
    <w:rsid w:val="000A56F2"/>
    <w:rsid w:val="000B1A38"/>
    <w:rsid w:val="000B2719"/>
    <w:rsid w:val="000B3A8F"/>
    <w:rsid w:val="000B4AB9"/>
    <w:rsid w:val="000B58C3"/>
    <w:rsid w:val="000B61E9"/>
    <w:rsid w:val="000B6CF7"/>
    <w:rsid w:val="000C07D6"/>
    <w:rsid w:val="000C165A"/>
    <w:rsid w:val="000C2E19"/>
    <w:rsid w:val="000C30C0"/>
    <w:rsid w:val="000C483D"/>
    <w:rsid w:val="000C6F75"/>
    <w:rsid w:val="000D0488"/>
    <w:rsid w:val="000D0D07"/>
    <w:rsid w:val="000D1B99"/>
    <w:rsid w:val="000D40F8"/>
    <w:rsid w:val="000D4312"/>
    <w:rsid w:val="000D4488"/>
    <w:rsid w:val="000D4797"/>
    <w:rsid w:val="000D4C42"/>
    <w:rsid w:val="000D51FB"/>
    <w:rsid w:val="000D78A5"/>
    <w:rsid w:val="000E0527"/>
    <w:rsid w:val="000E1E92"/>
    <w:rsid w:val="000F06D6"/>
    <w:rsid w:val="000F0EB1"/>
    <w:rsid w:val="000F1106"/>
    <w:rsid w:val="000F184D"/>
    <w:rsid w:val="000F1873"/>
    <w:rsid w:val="000F3BE9"/>
    <w:rsid w:val="000F3F6C"/>
    <w:rsid w:val="000F6743"/>
    <w:rsid w:val="000F6DF3"/>
    <w:rsid w:val="000F7B77"/>
    <w:rsid w:val="001005FF"/>
    <w:rsid w:val="001007F2"/>
    <w:rsid w:val="00102D88"/>
    <w:rsid w:val="001051DE"/>
    <w:rsid w:val="00105AC3"/>
    <w:rsid w:val="001062FB"/>
    <w:rsid w:val="001063E6"/>
    <w:rsid w:val="00113CF4"/>
    <w:rsid w:val="001153EA"/>
    <w:rsid w:val="00115643"/>
    <w:rsid w:val="00115FDF"/>
    <w:rsid w:val="00116765"/>
    <w:rsid w:val="001219F5"/>
    <w:rsid w:val="00121A20"/>
    <w:rsid w:val="00121B0B"/>
    <w:rsid w:val="00122F2E"/>
    <w:rsid w:val="00123033"/>
    <w:rsid w:val="0012377F"/>
    <w:rsid w:val="00124314"/>
    <w:rsid w:val="00125079"/>
    <w:rsid w:val="00126B4A"/>
    <w:rsid w:val="001303E3"/>
    <w:rsid w:val="00131695"/>
    <w:rsid w:val="001318B5"/>
    <w:rsid w:val="00132700"/>
    <w:rsid w:val="00132FD0"/>
    <w:rsid w:val="001344C0"/>
    <w:rsid w:val="001346FA"/>
    <w:rsid w:val="001349C7"/>
    <w:rsid w:val="00135252"/>
    <w:rsid w:val="00137A17"/>
    <w:rsid w:val="00137AB5"/>
    <w:rsid w:val="00137F0B"/>
    <w:rsid w:val="00141071"/>
    <w:rsid w:val="00141236"/>
    <w:rsid w:val="00143B3A"/>
    <w:rsid w:val="0014780F"/>
    <w:rsid w:val="00151E23"/>
    <w:rsid w:val="001526E0"/>
    <w:rsid w:val="001541A3"/>
    <w:rsid w:val="00154AF1"/>
    <w:rsid w:val="001551B5"/>
    <w:rsid w:val="00155C2B"/>
    <w:rsid w:val="00156808"/>
    <w:rsid w:val="00157C31"/>
    <w:rsid w:val="00160E23"/>
    <w:rsid w:val="001622BB"/>
    <w:rsid w:val="001643A8"/>
    <w:rsid w:val="001659C1"/>
    <w:rsid w:val="00170067"/>
    <w:rsid w:val="0017045C"/>
    <w:rsid w:val="001718EC"/>
    <w:rsid w:val="00173A8E"/>
    <w:rsid w:val="001741AA"/>
    <w:rsid w:val="00177795"/>
    <w:rsid w:val="00180242"/>
    <w:rsid w:val="001803D2"/>
    <w:rsid w:val="0018143F"/>
    <w:rsid w:val="00182FC8"/>
    <w:rsid w:val="00190AC1"/>
    <w:rsid w:val="00192200"/>
    <w:rsid w:val="0019341A"/>
    <w:rsid w:val="00196ADF"/>
    <w:rsid w:val="001972FA"/>
    <w:rsid w:val="00197D7A"/>
    <w:rsid w:val="00197DF9"/>
    <w:rsid w:val="00197F2C"/>
    <w:rsid w:val="001A1475"/>
    <w:rsid w:val="001A1987"/>
    <w:rsid w:val="001A2564"/>
    <w:rsid w:val="001A335C"/>
    <w:rsid w:val="001A51AB"/>
    <w:rsid w:val="001A6173"/>
    <w:rsid w:val="001A6CBA"/>
    <w:rsid w:val="001A7BFD"/>
    <w:rsid w:val="001B0B5F"/>
    <w:rsid w:val="001B0D97"/>
    <w:rsid w:val="001B20C7"/>
    <w:rsid w:val="001B556C"/>
    <w:rsid w:val="001B5A5D"/>
    <w:rsid w:val="001B77D0"/>
    <w:rsid w:val="001C1CE5"/>
    <w:rsid w:val="001C2556"/>
    <w:rsid w:val="001C3D2A"/>
    <w:rsid w:val="001C6495"/>
    <w:rsid w:val="001C793C"/>
    <w:rsid w:val="001D3F23"/>
    <w:rsid w:val="001D51BA"/>
    <w:rsid w:val="001D5F09"/>
    <w:rsid w:val="001D6342"/>
    <w:rsid w:val="001D6D53"/>
    <w:rsid w:val="001D7361"/>
    <w:rsid w:val="001E1D1B"/>
    <w:rsid w:val="001E58E2"/>
    <w:rsid w:val="001E59DA"/>
    <w:rsid w:val="001E647F"/>
    <w:rsid w:val="001E6F78"/>
    <w:rsid w:val="001E7AED"/>
    <w:rsid w:val="001F08A2"/>
    <w:rsid w:val="001F08F8"/>
    <w:rsid w:val="001F3916"/>
    <w:rsid w:val="001F3E5B"/>
    <w:rsid w:val="001F54C5"/>
    <w:rsid w:val="001F662C"/>
    <w:rsid w:val="001F6CB8"/>
    <w:rsid w:val="001F7074"/>
    <w:rsid w:val="00200490"/>
    <w:rsid w:val="00200F06"/>
    <w:rsid w:val="00201F3A"/>
    <w:rsid w:val="00203F96"/>
    <w:rsid w:val="00205F78"/>
    <w:rsid w:val="002069B2"/>
    <w:rsid w:val="00206BE0"/>
    <w:rsid w:val="00207FA3"/>
    <w:rsid w:val="00212D46"/>
    <w:rsid w:val="00212E3C"/>
    <w:rsid w:val="00214344"/>
    <w:rsid w:val="00214DA8"/>
    <w:rsid w:val="00215423"/>
    <w:rsid w:val="002158FA"/>
    <w:rsid w:val="00215E81"/>
    <w:rsid w:val="00217F12"/>
    <w:rsid w:val="00220600"/>
    <w:rsid w:val="0022083B"/>
    <w:rsid w:val="002211F2"/>
    <w:rsid w:val="002224DB"/>
    <w:rsid w:val="00222E78"/>
    <w:rsid w:val="00223FCB"/>
    <w:rsid w:val="00224B79"/>
    <w:rsid w:val="002252C3"/>
    <w:rsid w:val="00225B4C"/>
    <w:rsid w:val="00225C54"/>
    <w:rsid w:val="00230765"/>
    <w:rsid w:val="002319E4"/>
    <w:rsid w:val="00233CFA"/>
    <w:rsid w:val="002346CC"/>
    <w:rsid w:val="00235632"/>
    <w:rsid w:val="00235872"/>
    <w:rsid w:val="00235FA8"/>
    <w:rsid w:val="00236AB7"/>
    <w:rsid w:val="00241559"/>
    <w:rsid w:val="00241CA5"/>
    <w:rsid w:val="00241D56"/>
    <w:rsid w:val="00241EC9"/>
    <w:rsid w:val="002435B3"/>
    <w:rsid w:val="00243BCE"/>
    <w:rsid w:val="00244B69"/>
    <w:rsid w:val="002458EB"/>
    <w:rsid w:val="002500C8"/>
    <w:rsid w:val="00250CB0"/>
    <w:rsid w:val="00251EA0"/>
    <w:rsid w:val="00253F49"/>
    <w:rsid w:val="002557A2"/>
    <w:rsid w:val="0025630A"/>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380A"/>
    <w:rsid w:val="0027787B"/>
    <w:rsid w:val="002805F5"/>
    <w:rsid w:val="00280751"/>
    <w:rsid w:val="00280E2B"/>
    <w:rsid w:val="0028280A"/>
    <w:rsid w:val="00283152"/>
    <w:rsid w:val="00284F31"/>
    <w:rsid w:val="0028561E"/>
    <w:rsid w:val="002863A8"/>
    <w:rsid w:val="00286ACD"/>
    <w:rsid w:val="00287838"/>
    <w:rsid w:val="00287FC8"/>
    <w:rsid w:val="00287FE0"/>
    <w:rsid w:val="002907B5"/>
    <w:rsid w:val="002921E6"/>
    <w:rsid w:val="00292EB7"/>
    <w:rsid w:val="00293328"/>
    <w:rsid w:val="00296227"/>
    <w:rsid w:val="00296F44"/>
    <w:rsid w:val="0029739C"/>
    <w:rsid w:val="0029777D"/>
    <w:rsid w:val="002A055E"/>
    <w:rsid w:val="002A0A9D"/>
    <w:rsid w:val="002A1116"/>
    <w:rsid w:val="002A1D4E"/>
    <w:rsid w:val="002A26FA"/>
    <w:rsid w:val="002A2869"/>
    <w:rsid w:val="002A633C"/>
    <w:rsid w:val="002A6A54"/>
    <w:rsid w:val="002B24D6"/>
    <w:rsid w:val="002B361C"/>
    <w:rsid w:val="002B430A"/>
    <w:rsid w:val="002B5254"/>
    <w:rsid w:val="002B656F"/>
    <w:rsid w:val="002B6C8C"/>
    <w:rsid w:val="002C01DE"/>
    <w:rsid w:val="002C29B6"/>
    <w:rsid w:val="002C2A63"/>
    <w:rsid w:val="002C3FF6"/>
    <w:rsid w:val="002C41E6"/>
    <w:rsid w:val="002C539A"/>
    <w:rsid w:val="002D054A"/>
    <w:rsid w:val="002D071A"/>
    <w:rsid w:val="002D1FA1"/>
    <w:rsid w:val="002D34B2"/>
    <w:rsid w:val="002D6C8C"/>
    <w:rsid w:val="002D7637"/>
    <w:rsid w:val="002E0031"/>
    <w:rsid w:val="002E17F2"/>
    <w:rsid w:val="002E44AD"/>
    <w:rsid w:val="002E7CAE"/>
    <w:rsid w:val="002F0EB2"/>
    <w:rsid w:val="002F0FAE"/>
    <w:rsid w:val="002F13B1"/>
    <w:rsid w:val="002F1F36"/>
    <w:rsid w:val="002F1F4E"/>
    <w:rsid w:val="002F2771"/>
    <w:rsid w:val="002F37A9"/>
    <w:rsid w:val="002F3EB5"/>
    <w:rsid w:val="002F417B"/>
    <w:rsid w:val="002F44ED"/>
    <w:rsid w:val="002F5561"/>
    <w:rsid w:val="00301CE6"/>
    <w:rsid w:val="00301D3C"/>
    <w:rsid w:val="0030256B"/>
    <w:rsid w:val="0030501F"/>
    <w:rsid w:val="00307BA1"/>
    <w:rsid w:val="00310C25"/>
    <w:rsid w:val="00311702"/>
    <w:rsid w:val="00311B31"/>
    <w:rsid w:val="00311E82"/>
    <w:rsid w:val="0031309F"/>
    <w:rsid w:val="00313FD6"/>
    <w:rsid w:val="003143BD"/>
    <w:rsid w:val="00317B01"/>
    <w:rsid w:val="003203ED"/>
    <w:rsid w:val="00322C9F"/>
    <w:rsid w:val="00323F80"/>
    <w:rsid w:val="00324456"/>
    <w:rsid w:val="00324D23"/>
    <w:rsid w:val="00331751"/>
    <w:rsid w:val="00331D5D"/>
    <w:rsid w:val="0033324A"/>
    <w:rsid w:val="00333428"/>
    <w:rsid w:val="00334579"/>
    <w:rsid w:val="00335858"/>
    <w:rsid w:val="00336BDA"/>
    <w:rsid w:val="003409B2"/>
    <w:rsid w:val="00342BD7"/>
    <w:rsid w:val="00343A07"/>
    <w:rsid w:val="00345333"/>
    <w:rsid w:val="00346DB5"/>
    <w:rsid w:val="00346E8F"/>
    <w:rsid w:val="003477B1"/>
    <w:rsid w:val="003521FD"/>
    <w:rsid w:val="0035482C"/>
    <w:rsid w:val="00354CAA"/>
    <w:rsid w:val="00355EA2"/>
    <w:rsid w:val="00357380"/>
    <w:rsid w:val="003602D9"/>
    <w:rsid w:val="003604CE"/>
    <w:rsid w:val="00362AD9"/>
    <w:rsid w:val="00364BC3"/>
    <w:rsid w:val="003675AE"/>
    <w:rsid w:val="00367C7A"/>
    <w:rsid w:val="00370300"/>
    <w:rsid w:val="00370E47"/>
    <w:rsid w:val="003739D8"/>
    <w:rsid w:val="003742AC"/>
    <w:rsid w:val="00375474"/>
    <w:rsid w:val="00377CE1"/>
    <w:rsid w:val="00380032"/>
    <w:rsid w:val="00380B82"/>
    <w:rsid w:val="00385BF0"/>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44CF"/>
    <w:rsid w:val="003B7FE5"/>
    <w:rsid w:val="003C058C"/>
    <w:rsid w:val="003C11C8"/>
    <w:rsid w:val="003C2702"/>
    <w:rsid w:val="003C33CB"/>
    <w:rsid w:val="003C3AC4"/>
    <w:rsid w:val="003C46B0"/>
    <w:rsid w:val="003C5D3E"/>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42D2"/>
    <w:rsid w:val="003E4C1F"/>
    <w:rsid w:val="003E54FC"/>
    <w:rsid w:val="003E55E4"/>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54C5"/>
    <w:rsid w:val="004176EB"/>
    <w:rsid w:val="00421105"/>
    <w:rsid w:val="004238C9"/>
    <w:rsid w:val="004241FD"/>
    <w:rsid w:val="004242F4"/>
    <w:rsid w:val="00427248"/>
    <w:rsid w:val="004319E2"/>
    <w:rsid w:val="00432C84"/>
    <w:rsid w:val="004337E0"/>
    <w:rsid w:val="00433868"/>
    <w:rsid w:val="00437447"/>
    <w:rsid w:val="004374E6"/>
    <w:rsid w:val="00437610"/>
    <w:rsid w:val="004377C1"/>
    <w:rsid w:val="00437F19"/>
    <w:rsid w:val="00441A92"/>
    <w:rsid w:val="004426DE"/>
    <w:rsid w:val="00443F8E"/>
    <w:rsid w:val="00444F56"/>
    <w:rsid w:val="00446488"/>
    <w:rsid w:val="004517AA"/>
    <w:rsid w:val="00451E50"/>
    <w:rsid w:val="00452CAC"/>
    <w:rsid w:val="00453003"/>
    <w:rsid w:val="00453849"/>
    <w:rsid w:val="00457565"/>
    <w:rsid w:val="00457B71"/>
    <w:rsid w:val="00463CA6"/>
    <w:rsid w:val="004644EB"/>
    <w:rsid w:val="004649C8"/>
    <w:rsid w:val="00465F3A"/>
    <w:rsid w:val="004669E2"/>
    <w:rsid w:val="00467E2F"/>
    <w:rsid w:val="004704DF"/>
    <w:rsid w:val="00470C31"/>
    <w:rsid w:val="00471CA5"/>
    <w:rsid w:val="00472C22"/>
    <w:rsid w:val="004734D0"/>
    <w:rsid w:val="0047556B"/>
    <w:rsid w:val="004758BD"/>
    <w:rsid w:val="00476B57"/>
    <w:rsid w:val="00477768"/>
    <w:rsid w:val="004806E3"/>
    <w:rsid w:val="0048407E"/>
    <w:rsid w:val="0048568A"/>
    <w:rsid w:val="00485C41"/>
    <w:rsid w:val="00485DBF"/>
    <w:rsid w:val="00486318"/>
    <w:rsid w:val="00487854"/>
    <w:rsid w:val="0049026C"/>
    <w:rsid w:val="00492BC5"/>
    <w:rsid w:val="00492D58"/>
    <w:rsid w:val="004943D1"/>
    <w:rsid w:val="004964F1"/>
    <w:rsid w:val="004A16BC"/>
    <w:rsid w:val="004A1C96"/>
    <w:rsid w:val="004A2B94"/>
    <w:rsid w:val="004A7937"/>
    <w:rsid w:val="004B1EB4"/>
    <w:rsid w:val="004B29D1"/>
    <w:rsid w:val="004B556B"/>
    <w:rsid w:val="004B556D"/>
    <w:rsid w:val="004B6C7B"/>
    <w:rsid w:val="004B7C0C"/>
    <w:rsid w:val="004C3898"/>
    <w:rsid w:val="004C6DFE"/>
    <w:rsid w:val="004D36B1"/>
    <w:rsid w:val="004D5745"/>
    <w:rsid w:val="004D6EF6"/>
    <w:rsid w:val="004D796E"/>
    <w:rsid w:val="004D7EBD"/>
    <w:rsid w:val="004E225E"/>
    <w:rsid w:val="004E2680"/>
    <w:rsid w:val="004E28F9"/>
    <w:rsid w:val="004E3316"/>
    <w:rsid w:val="004E462E"/>
    <w:rsid w:val="004E56DC"/>
    <w:rsid w:val="004E76F4"/>
    <w:rsid w:val="004F05B1"/>
    <w:rsid w:val="004F0B4E"/>
    <w:rsid w:val="004F0B6C"/>
    <w:rsid w:val="004F2078"/>
    <w:rsid w:val="004F4261"/>
    <w:rsid w:val="004F44BE"/>
    <w:rsid w:val="004F491F"/>
    <w:rsid w:val="004F4DA3"/>
    <w:rsid w:val="004F6C6C"/>
    <w:rsid w:val="004F729D"/>
    <w:rsid w:val="005000AF"/>
    <w:rsid w:val="00501540"/>
    <w:rsid w:val="00502025"/>
    <w:rsid w:val="00502D73"/>
    <w:rsid w:val="00504A9C"/>
    <w:rsid w:val="00505169"/>
    <w:rsid w:val="00505C27"/>
    <w:rsid w:val="00506557"/>
    <w:rsid w:val="0050677A"/>
    <w:rsid w:val="005108D8"/>
    <w:rsid w:val="005116F9"/>
    <w:rsid w:val="005131A5"/>
    <w:rsid w:val="005153A7"/>
    <w:rsid w:val="00516D60"/>
    <w:rsid w:val="00516FAD"/>
    <w:rsid w:val="00517442"/>
    <w:rsid w:val="005219CF"/>
    <w:rsid w:val="005243DB"/>
    <w:rsid w:val="0052582A"/>
    <w:rsid w:val="00526E90"/>
    <w:rsid w:val="0052771A"/>
    <w:rsid w:val="00531534"/>
    <w:rsid w:val="0053355F"/>
    <w:rsid w:val="005338D0"/>
    <w:rsid w:val="00534B59"/>
    <w:rsid w:val="00534F50"/>
    <w:rsid w:val="00536759"/>
    <w:rsid w:val="005367C3"/>
    <w:rsid w:val="00536D88"/>
    <w:rsid w:val="00536EB6"/>
    <w:rsid w:val="00537C62"/>
    <w:rsid w:val="00543234"/>
    <w:rsid w:val="0054462F"/>
    <w:rsid w:val="00544BAC"/>
    <w:rsid w:val="00546970"/>
    <w:rsid w:val="00554E19"/>
    <w:rsid w:val="005565C7"/>
    <w:rsid w:val="00556927"/>
    <w:rsid w:val="0056121F"/>
    <w:rsid w:val="0056138C"/>
    <w:rsid w:val="005613C4"/>
    <w:rsid w:val="00563C8D"/>
    <w:rsid w:val="00571171"/>
    <w:rsid w:val="005711B9"/>
    <w:rsid w:val="00572505"/>
    <w:rsid w:val="005730C2"/>
    <w:rsid w:val="00574D55"/>
    <w:rsid w:val="00580202"/>
    <w:rsid w:val="00582809"/>
    <w:rsid w:val="00583738"/>
    <w:rsid w:val="00584E55"/>
    <w:rsid w:val="00585CD8"/>
    <w:rsid w:val="005874A0"/>
    <w:rsid w:val="005875C9"/>
    <w:rsid w:val="0058798C"/>
    <w:rsid w:val="005900FA"/>
    <w:rsid w:val="0059101A"/>
    <w:rsid w:val="005935A4"/>
    <w:rsid w:val="005948C2"/>
    <w:rsid w:val="00594E97"/>
    <w:rsid w:val="00595DCA"/>
    <w:rsid w:val="00596ABE"/>
    <w:rsid w:val="0059779B"/>
    <w:rsid w:val="005A12D3"/>
    <w:rsid w:val="005A209A"/>
    <w:rsid w:val="005A2324"/>
    <w:rsid w:val="005A2347"/>
    <w:rsid w:val="005A2A1F"/>
    <w:rsid w:val="005A4629"/>
    <w:rsid w:val="005A662D"/>
    <w:rsid w:val="005A6C45"/>
    <w:rsid w:val="005A78CA"/>
    <w:rsid w:val="005B045C"/>
    <w:rsid w:val="005B28BD"/>
    <w:rsid w:val="005B35D7"/>
    <w:rsid w:val="005B392A"/>
    <w:rsid w:val="005B3AA3"/>
    <w:rsid w:val="005B4A44"/>
    <w:rsid w:val="005B6F83"/>
    <w:rsid w:val="005B7549"/>
    <w:rsid w:val="005C5143"/>
    <w:rsid w:val="005C5A4F"/>
    <w:rsid w:val="005C6BCE"/>
    <w:rsid w:val="005C74FB"/>
    <w:rsid w:val="005C7752"/>
    <w:rsid w:val="005C7F26"/>
    <w:rsid w:val="005D1602"/>
    <w:rsid w:val="005D259C"/>
    <w:rsid w:val="005D4FEE"/>
    <w:rsid w:val="005D7306"/>
    <w:rsid w:val="005E385F"/>
    <w:rsid w:val="005E5B81"/>
    <w:rsid w:val="005E5C3C"/>
    <w:rsid w:val="005E74BE"/>
    <w:rsid w:val="005E79D7"/>
    <w:rsid w:val="005F2CB1"/>
    <w:rsid w:val="005F2D35"/>
    <w:rsid w:val="005F2EA7"/>
    <w:rsid w:val="005F3025"/>
    <w:rsid w:val="005F3613"/>
    <w:rsid w:val="005F4D03"/>
    <w:rsid w:val="005F60EF"/>
    <w:rsid w:val="005F618C"/>
    <w:rsid w:val="005F70BD"/>
    <w:rsid w:val="005F784C"/>
    <w:rsid w:val="00601906"/>
    <w:rsid w:val="0060283C"/>
    <w:rsid w:val="00603BE4"/>
    <w:rsid w:val="00604A23"/>
    <w:rsid w:val="00604F14"/>
    <w:rsid w:val="00605F62"/>
    <w:rsid w:val="00605FF4"/>
    <w:rsid w:val="00607C83"/>
    <w:rsid w:val="006102C9"/>
    <w:rsid w:val="00611B83"/>
    <w:rsid w:val="00612656"/>
    <w:rsid w:val="00613257"/>
    <w:rsid w:val="0061589A"/>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151F"/>
    <w:rsid w:val="00641533"/>
    <w:rsid w:val="0064208D"/>
    <w:rsid w:val="0064307A"/>
    <w:rsid w:val="00643449"/>
    <w:rsid w:val="00643475"/>
    <w:rsid w:val="0064396A"/>
    <w:rsid w:val="00645B60"/>
    <w:rsid w:val="00645E14"/>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3A6"/>
    <w:rsid w:val="006627A2"/>
    <w:rsid w:val="006634E6"/>
    <w:rsid w:val="006655EE"/>
    <w:rsid w:val="00665DAE"/>
    <w:rsid w:val="00667EE7"/>
    <w:rsid w:val="00670922"/>
    <w:rsid w:val="00670BE1"/>
    <w:rsid w:val="0067218F"/>
    <w:rsid w:val="006723DA"/>
    <w:rsid w:val="006741F2"/>
    <w:rsid w:val="00674CC3"/>
    <w:rsid w:val="00675C72"/>
    <w:rsid w:val="006762BF"/>
    <w:rsid w:val="00676ECC"/>
    <w:rsid w:val="00677020"/>
    <w:rsid w:val="006771F9"/>
    <w:rsid w:val="00677403"/>
    <w:rsid w:val="006776D7"/>
    <w:rsid w:val="00681003"/>
    <w:rsid w:val="006817C9"/>
    <w:rsid w:val="00683E8F"/>
    <w:rsid w:val="00683ECE"/>
    <w:rsid w:val="006848CD"/>
    <w:rsid w:val="006858A0"/>
    <w:rsid w:val="00686808"/>
    <w:rsid w:val="00686D9A"/>
    <w:rsid w:val="00686EE7"/>
    <w:rsid w:val="00695164"/>
    <w:rsid w:val="00695FC2"/>
    <w:rsid w:val="00696388"/>
    <w:rsid w:val="006968A6"/>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3079"/>
    <w:rsid w:val="006B50CF"/>
    <w:rsid w:val="006B694F"/>
    <w:rsid w:val="006C03B8"/>
    <w:rsid w:val="006C14C0"/>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673D"/>
    <w:rsid w:val="006E7D3B"/>
    <w:rsid w:val="006F0CCB"/>
    <w:rsid w:val="006F1B70"/>
    <w:rsid w:val="006F341D"/>
    <w:rsid w:val="006F38DD"/>
    <w:rsid w:val="006F3A6E"/>
    <w:rsid w:val="006F3CDE"/>
    <w:rsid w:val="006F58D4"/>
    <w:rsid w:val="00701983"/>
    <w:rsid w:val="0070346E"/>
    <w:rsid w:val="007036E6"/>
    <w:rsid w:val="00704EDB"/>
    <w:rsid w:val="0070537F"/>
    <w:rsid w:val="00706101"/>
    <w:rsid w:val="00707072"/>
    <w:rsid w:val="00707D61"/>
    <w:rsid w:val="00710CBF"/>
    <w:rsid w:val="00712287"/>
    <w:rsid w:val="0071242E"/>
    <w:rsid w:val="00712772"/>
    <w:rsid w:val="00713419"/>
    <w:rsid w:val="00713960"/>
    <w:rsid w:val="00713A89"/>
    <w:rsid w:val="007148CE"/>
    <w:rsid w:val="007148D3"/>
    <w:rsid w:val="007150A8"/>
    <w:rsid w:val="00715B9A"/>
    <w:rsid w:val="00721593"/>
    <w:rsid w:val="00722660"/>
    <w:rsid w:val="00722CDD"/>
    <w:rsid w:val="00724463"/>
    <w:rsid w:val="00726EA6"/>
    <w:rsid w:val="00727208"/>
    <w:rsid w:val="00727680"/>
    <w:rsid w:val="00727F23"/>
    <w:rsid w:val="00731839"/>
    <w:rsid w:val="007348B1"/>
    <w:rsid w:val="00734B23"/>
    <w:rsid w:val="00735B71"/>
    <w:rsid w:val="007362A6"/>
    <w:rsid w:val="00736D7D"/>
    <w:rsid w:val="00737BD3"/>
    <w:rsid w:val="00737F85"/>
    <w:rsid w:val="00740E58"/>
    <w:rsid w:val="00741966"/>
    <w:rsid w:val="0074386C"/>
    <w:rsid w:val="0074405B"/>
    <w:rsid w:val="007445A0"/>
    <w:rsid w:val="0074524B"/>
    <w:rsid w:val="00747C5C"/>
    <w:rsid w:val="00747D8B"/>
    <w:rsid w:val="007506AF"/>
    <w:rsid w:val="00751228"/>
    <w:rsid w:val="0075193B"/>
    <w:rsid w:val="007531DB"/>
    <w:rsid w:val="0075374B"/>
    <w:rsid w:val="007542ED"/>
    <w:rsid w:val="007558B0"/>
    <w:rsid w:val="007571E1"/>
    <w:rsid w:val="00757DBF"/>
    <w:rsid w:val="007604B2"/>
    <w:rsid w:val="00762737"/>
    <w:rsid w:val="00762FB8"/>
    <w:rsid w:val="00763AD2"/>
    <w:rsid w:val="00763BC8"/>
    <w:rsid w:val="00765281"/>
    <w:rsid w:val="00765285"/>
    <w:rsid w:val="00765899"/>
    <w:rsid w:val="00766BAD"/>
    <w:rsid w:val="00766E11"/>
    <w:rsid w:val="00771C8B"/>
    <w:rsid w:val="007730BD"/>
    <w:rsid w:val="00773C0A"/>
    <w:rsid w:val="007755F2"/>
    <w:rsid w:val="00776469"/>
    <w:rsid w:val="00776971"/>
    <w:rsid w:val="00776EAB"/>
    <w:rsid w:val="0077725D"/>
    <w:rsid w:val="00780BFD"/>
    <w:rsid w:val="0078104B"/>
    <w:rsid w:val="0078177E"/>
    <w:rsid w:val="0078304C"/>
    <w:rsid w:val="00783673"/>
    <w:rsid w:val="00785490"/>
    <w:rsid w:val="00790F2A"/>
    <w:rsid w:val="007925EA"/>
    <w:rsid w:val="00793CD8"/>
    <w:rsid w:val="0079532B"/>
    <w:rsid w:val="00795C92"/>
    <w:rsid w:val="00796231"/>
    <w:rsid w:val="00796845"/>
    <w:rsid w:val="007A068F"/>
    <w:rsid w:val="007A1B4C"/>
    <w:rsid w:val="007A1CB3"/>
    <w:rsid w:val="007A306F"/>
    <w:rsid w:val="007A43A6"/>
    <w:rsid w:val="007A58A6"/>
    <w:rsid w:val="007A7BDD"/>
    <w:rsid w:val="007B1B6A"/>
    <w:rsid w:val="007B231D"/>
    <w:rsid w:val="007B3D2D"/>
    <w:rsid w:val="007B41E4"/>
    <w:rsid w:val="007B5007"/>
    <w:rsid w:val="007B50AE"/>
    <w:rsid w:val="007B5114"/>
    <w:rsid w:val="007B51DF"/>
    <w:rsid w:val="007B7CDE"/>
    <w:rsid w:val="007C05DD"/>
    <w:rsid w:val="007C0646"/>
    <w:rsid w:val="007C3D18"/>
    <w:rsid w:val="007C60BF"/>
    <w:rsid w:val="007C6A07"/>
    <w:rsid w:val="007C75A1"/>
    <w:rsid w:val="007C77A5"/>
    <w:rsid w:val="007D04E5"/>
    <w:rsid w:val="007D311E"/>
    <w:rsid w:val="007D3F4F"/>
    <w:rsid w:val="007D5901"/>
    <w:rsid w:val="007D6C67"/>
    <w:rsid w:val="007D7526"/>
    <w:rsid w:val="007E2F81"/>
    <w:rsid w:val="007E3662"/>
    <w:rsid w:val="007E36F3"/>
    <w:rsid w:val="007E4610"/>
    <w:rsid w:val="007E4715"/>
    <w:rsid w:val="007E4B22"/>
    <w:rsid w:val="007E505B"/>
    <w:rsid w:val="007E6373"/>
    <w:rsid w:val="007E7091"/>
    <w:rsid w:val="007F3C98"/>
    <w:rsid w:val="007F77D6"/>
    <w:rsid w:val="008015DF"/>
    <w:rsid w:val="008020FE"/>
    <w:rsid w:val="00803FAE"/>
    <w:rsid w:val="0080605F"/>
    <w:rsid w:val="0080763E"/>
    <w:rsid w:val="00807786"/>
    <w:rsid w:val="008104DC"/>
    <w:rsid w:val="0081132E"/>
    <w:rsid w:val="00811FCB"/>
    <w:rsid w:val="0081252B"/>
    <w:rsid w:val="008141E0"/>
    <w:rsid w:val="008158D6"/>
    <w:rsid w:val="00816888"/>
    <w:rsid w:val="00816B4A"/>
    <w:rsid w:val="00817196"/>
    <w:rsid w:val="00817A4D"/>
    <w:rsid w:val="00817EDE"/>
    <w:rsid w:val="008235DB"/>
    <w:rsid w:val="00824AB4"/>
    <w:rsid w:val="00824E9F"/>
    <w:rsid w:val="00825C42"/>
    <w:rsid w:val="00825D25"/>
    <w:rsid w:val="00827D6F"/>
    <w:rsid w:val="008300C8"/>
    <w:rsid w:val="008304CD"/>
    <w:rsid w:val="008335B1"/>
    <w:rsid w:val="00835DD6"/>
    <w:rsid w:val="008376AC"/>
    <w:rsid w:val="00841B0A"/>
    <w:rsid w:val="0084221B"/>
    <w:rsid w:val="0084405D"/>
    <w:rsid w:val="008441EB"/>
    <w:rsid w:val="008444E8"/>
    <w:rsid w:val="00844E80"/>
    <w:rsid w:val="00846FE7"/>
    <w:rsid w:val="00850CEC"/>
    <w:rsid w:val="00850E36"/>
    <w:rsid w:val="00855BF9"/>
    <w:rsid w:val="00856498"/>
    <w:rsid w:val="00856911"/>
    <w:rsid w:val="00856C5F"/>
    <w:rsid w:val="00863D18"/>
    <w:rsid w:val="00865632"/>
    <w:rsid w:val="00865647"/>
    <w:rsid w:val="00866494"/>
    <w:rsid w:val="008677FD"/>
    <w:rsid w:val="00867B56"/>
    <w:rsid w:val="00870077"/>
    <w:rsid w:val="008706D4"/>
    <w:rsid w:val="008709D7"/>
    <w:rsid w:val="00870F8A"/>
    <w:rsid w:val="008719A4"/>
    <w:rsid w:val="00871B9E"/>
    <w:rsid w:val="00871D23"/>
    <w:rsid w:val="00872782"/>
    <w:rsid w:val="00874312"/>
    <w:rsid w:val="0087437C"/>
    <w:rsid w:val="00875CD7"/>
    <w:rsid w:val="0087608E"/>
    <w:rsid w:val="00876B4D"/>
    <w:rsid w:val="00876D5E"/>
    <w:rsid w:val="00877F18"/>
    <w:rsid w:val="00880BBE"/>
    <w:rsid w:val="00881496"/>
    <w:rsid w:val="008831AD"/>
    <w:rsid w:val="00883680"/>
    <w:rsid w:val="008850EF"/>
    <w:rsid w:val="00885820"/>
    <w:rsid w:val="0088638F"/>
    <w:rsid w:val="00890D48"/>
    <w:rsid w:val="00891466"/>
    <w:rsid w:val="00894A88"/>
    <w:rsid w:val="00895386"/>
    <w:rsid w:val="00896D3D"/>
    <w:rsid w:val="008A21FF"/>
    <w:rsid w:val="008A2C57"/>
    <w:rsid w:val="008A2CE2"/>
    <w:rsid w:val="008A30AC"/>
    <w:rsid w:val="008A3F81"/>
    <w:rsid w:val="008A44B8"/>
    <w:rsid w:val="008A4CE1"/>
    <w:rsid w:val="008A51A8"/>
    <w:rsid w:val="008A54C7"/>
    <w:rsid w:val="008A77D8"/>
    <w:rsid w:val="008B0483"/>
    <w:rsid w:val="008B0C02"/>
    <w:rsid w:val="008B120C"/>
    <w:rsid w:val="008B25D1"/>
    <w:rsid w:val="008B2BCE"/>
    <w:rsid w:val="008B51A0"/>
    <w:rsid w:val="008B592A"/>
    <w:rsid w:val="008B675A"/>
    <w:rsid w:val="008B69D2"/>
    <w:rsid w:val="008B7B5C"/>
    <w:rsid w:val="008C0C99"/>
    <w:rsid w:val="008C2017"/>
    <w:rsid w:val="008C238C"/>
    <w:rsid w:val="008C2398"/>
    <w:rsid w:val="008C2AAD"/>
    <w:rsid w:val="008C2D79"/>
    <w:rsid w:val="008C4958"/>
    <w:rsid w:val="008C4BAA"/>
    <w:rsid w:val="008C6AE8"/>
    <w:rsid w:val="008C741D"/>
    <w:rsid w:val="008C7573"/>
    <w:rsid w:val="008C7783"/>
    <w:rsid w:val="008D0DB1"/>
    <w:rsid w:val="008D0E11"/>
    <w:rsid w:val="008D1158"/>
    <w:rsid w:val="008D277A"/>
    <w:rsid w:val="008D34F1"/>
    <w:rsid w:val="008D39D8"/>
    <w:rsid w:val="008D491D"/>
    <w:rsid w:val="008D52DC"/>
    <w:rsid w:val="008D6D1A"/>
    <w:rsid w:val="008E029F"/>
    <w:rsid w:val="008E065E"/>
    <w:rsid w:val="008E0927"/>
    <w:rsid w:val="008E1909"/>
    <w:rsid w:val="008E44B8"/>
    <w:rsid w:val="008E5F79"/>
    <w:rsid w:val="008E794E"/>
    <w:rsid w:val="008F04D1"/>
    <w:rsid w:val="008F1EAB"/>
    <w:rsid w:val="008F2133"/>
    <w:rsid w:val="008F33DC"/>
    <w:rsid w:val="008F40F2"/>
    <w:rsid w:val="008F477F"/>
    <w:rsid w:val="008F5E2E"/>
    <w:rsid w:val="008F600C"/>
    <w:rsid w:val="00902350"/>
    <w:rsid w:val="0090336B"/>
    <w:rsid w:val="009038A0"/>
    <w:rsid w:val="009053AA"/>
    <w:rsid w:val="00905736"/>
    <w:rsid w:val="009061DE"/>
    <w:rsid w:val="00906939"/>
    <w:rsid w:val="009075B9"/>
    <w:rsid w:val="0091039D"/>
    <w:rsid w:val="00910B7D"/>
    <w:rsid w:val="00910C99"/>
    <w:rsid w:val="00911DFB"/>
    <w:rsid w:val="00911F5A"/>
    <w:rsid w:val="009139D9"/>
    <w:rsid w:val="009140E8"/>
    <w:rsid w:val="00914AD8"/>
    <w:rsid w:val="00915D25"/>
    <w:rsid w:val="0091601E"/>
    <w:rsid w:val="00916079"/>
    <w:rsid w:val="00917CE9"/>
    <w:rsid w:val="00920BF2"/>
    <w:rsid w:val="00922010"/>
    <w:rsid w:val="009265E0"/>
    <w:rsid w:val="00926FEF"/>
    <w:rsid w:val="00927E6D"/>
    <w:rsid w:val="00931BD9"/>
    <w:rsid w:val="00933E23"/>
    <w:rsid w:val="00934976"/>
    <w:rsid w:val="009368F3"/>
    <w:rsid w:val="00936A53"/>
    <w:rsid w:val="009373EA"/>
    <w:rsid w:val="009403F9"/>
    <w:rsid w:val="009410E6"/>
    <w:rsid w:val="00941636"/>
    <w:rsid w:val="00943742"/>
    <w:rsid w:val="00945C05"/>
    <w:rsid w:val="00946945"/>
    <w:rsid w:val="00946B64"/>
    <w:rsid w:val="00946CFD"/>
    <w:rsid w:val="00947713"/>
    <w:rsid w:val="0095011B"/>
    <w:rsid w:val="009507EF"/>
    <w:rsid w:val="00950DE7"/>
    <w:rsid w:val="009522A6"/>
    <w:rsid w:val="00953920"/>
    <w:rsid w:val="00953D47"/>
    <w:rsid w:val="0095681E"/>
    <w:rsid w:val="009570A5"/>
    <w:rsid w:val="009572D4"/>
    <w:rsid w:val="00957C1F"/>
    <w:rsid w:val="00961921"/>
    <w:rsid w:val="009625DE"/>
    <w:rsid w:val="0096430A"/>
    <w:rsid w:val="0096548A"/>
    <w:rsid w:val="0096554B"/>
    <w:rsid w:val="0096584A"/>
    <w:rsid w:val="00966F0D"/>
    <w:rsid w:val="00970C11"/>
    <w:rsid w:val="00971F08"/>
    <w:rsid w:val="00975113"/>
    <w:rsid w:val="00975EA7"/>
    <w:rsid w:val="0097603D"/>
    <w:rsid w:val="00976949"/>
    <w:rsid w:val="00977ACF"/>
    <w:rsid w:val="00980477"/>
    <w:rsid w:val="00980C74"/>
    <w:rsid w:val="0098201E"/>
    <w:rsid w:val="00985253"/>
    <w:rsid w:val="009853B3"/>
    <w:rsid w:val="009871CF"/>
    <w:rsid w:val="00990630"/>
    <w:rsid w:val="00990EB7"/>
    <w:rsid w:val="00991761"/>
    <w:rsid w:val="0099366C"/>
    <w:rsid w:val="00993A69"/>
    <w:rsid w:val="00994DCA"/>
    <w:rsid w:val="009960EC"/>
    <w:rsid w:val="009970DD"/>
    <w:rsid w:val="009A0FBA"/>
    <w:rsid w:val="009A1601"/>
    <w:rsid w:val="009A1FBB"/>
    <w:rsid w:val="009A215F"/>
    <w:rsid w:val="009A462D"/>
    <w:rsid w:val="009A5CBA"/>
    <w:rsid w:val="009A7F84"/>
    <w:rsid w:val="009B1F30"/>
    <w:rsid w:val="009B327D"/>
    <w:rsid w:val="009B3AC2"/>
    <w:rsid w:val="009B4DF4"/>
    <w:rsid w:val="009B4E12"/>
    <w:rsid w:val="009B564E"/>
    <w:rsid w:val="009B5D3F"/>
    <w:rsid w:val="009B64A1"/>
    <w:rsid w:val="009B7E87"/>
    <w:rsid w:val="009C02B6"/>
    <w:rsid w:val="009C0F39"/>
    <w:rsid w:val="009C33C1"/>
    <w:rsid w:val="009C403E"/>
    <w:rsid w:val="009C49EC"/>
    <w:rsid w:val="009C772C"/>
    <w:rsid w:val="009D27C9"/>
    <w:rsid w:val="009D32C1"/>
    <w:rsid w:val="009D3E36"/>
    <w:rsid w:val="009D4FF0"/>
    <w:rsid w:val="009D51B1"/>
    <w:rsid w:val="009D555B"/>
    <w:rsid w:val="009D703C"/>
    <w:rsid w:val="009D718F"/>
    <w:rsid w:val="009E068F"/>
    <w:rsid w:val="009E14E0"/>
    <w:rsid w:val="009E301B"/>
    <w:rsid w:val="009E357E"/>
    <w:rsid w:val="009E35DB"/>
    <w:rsid w:val="009E47A3"/>
    <w:rsid w:val="009F08F3"/>
    <w:rsid w:val="009F1CC2"/>
    <w:rsid w:val="009F1D4F"/>
    <w:rsid w:val="009F1ECE"/>
    <w:rsid w:val="009F2D53"/>
    <w:rsid w:val="009F344F"/>
    <w:rsid w:val="009F438B"/>
    <w:rsid w:val="009F5DC6"/>
    <w:rsid w:val="009F67E8"/>
    <w:rsid w:val="009F6FB1"/>
    <w:rsid w:val="00A00B32"/>
    <w:rsid w:val="00A048A8"/>
    <w:rsid w:val="00A04F49"/>
    <w:rsid w:val="00A07372"/>
    <w:rsid w:val="00A13E54"/>
    <w:rsid w:val="00A15202"/>
    <w:rsid w:val="00A17F63"/>
    <w:rsid w:val="00A2193B"/>
    <w:rsid w:val="00A2351A"/>
    <w:rsid w:val="00A264A9"/>
    <w:rsid w:val="00A26D81"/>
    <w:rsid w:val="00A27785"/>
    <w:rsid w:val="00A30187"/>
    <w:rsid w:val="00A3448A"/>
    <w:rsid w:val="00A34EB7"/>
    <w:rsid w:val="00A36297"/>
    <w:rsid w:val="00A40104"/>
    <w:rsid w:val="00A40236"/>
    <w:rsid w:val="00A4107B"/>
    <w:rsid w:val="00A41E2B"/>
    <w:rsid w:val="00A44D11"/>
    <w:rsid w:val="00A45B74"/>
    <w:rsid w:val="00A503B8"/>
    <w:rsid w:val="00A51466"/>
    <w:rsid w:val="00A51568"/>
    <w:rsid w:val="00A5264C"/>
    <w:rsid w:val="00A52E1D"/>
    <w:rsid w:val="00A53B7A"/>
    <w:rsid w:val="00A61499"/>
    <w:rsid w:val="00A623B8"/>
    <w:rsid w:val="00A626D1"/>
    <w:rsid w:val="00A62A77"/>
    <w:rsid w:val="00A62ECE"/>
    <w:rsid w:val="00A63483"/>
    <w:rsid w:val="00A6363A"/>
    <w:rsid w:val="00A657D7"/>
    <w:rsid w:val="00A65B19"/>
    <w:rsid w:val="00A660AC"/>
    <w:rsid w:val="00A67E6C"/>
    <w:rsid w:val="00A706FC"/>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916C9"/>
    <w:rsid w:val="00A91C62"/>
    <w:rsid w:val="00A92879"/>
    <w:rsid w:val="00A92908"/>
    <w:rsid w:val="00A92C7A"/>
    <w:rsid w:val="00A94311"/>
    <w:rsid w:val="00A9442A"/>
    <w:rsid w:val="00A94666"/>
    <w:rsid w:val="00A97225"/>
    <w:rsid w:val="00AA016F"/>
    <w:rsid w:val="00AA1ED6"/>
    <w:rsid w:val="00AA23D1"/>
    <w:rsid w:val="00AA260C"/>
    <w:rsid w:val="00AA4279"/>
    <w:rsid w:val="00AA51D6"/>
    <w:rsid w:val="00AA584B"/>
    <w:rsid w:val="00AA63BA"/>
    <w:rsid w:val="00AA7C63"/>
    <w:rsid w:val="00AB017F"/>
    <w:rsid w:val="00AB0BC8"/>
    <w:rsid w:val="00AB11CA"/>
    <w:rsid w:val="00AB14D9"/>
    <w:rsid w:val="00AB3C41"/>
    <w:rsid w:val="00AB4AB8"/>
    <w:rsid w:val="00AB54D8"/>
    <w:rsid w:val="00AB655E"/>
    <w:rsid w:val="00AC007F"/>
    <w:rsid w:val="00AC2ECD"/>
    <w:rsid w:val="00AC3119"/>
    <w:rsid w:val="00AC33AD"/>
    <w:rsid w:val="00AC49FB"/>
    <w:rsid w:val="00AC4FAD"/>
    <w:rsid w:val="00AC5A10"/>
    <w:rsid w:val="00AD0AA3"/>
    <w:rsid w:val="00AD1952"/>
    <w:rsid w:val="00AD3F94"/>
    <w:rsid w:val="00AD4A5A"/>
    <w:rsid w:val="00AD6192"/>
    <w:rsid w:val="00AD67FE"/>
    <w:rsid w:val="00AE27AC"/>
    <w:rsid w:val="00AE40E0"/>
    <w:rsid w:val="00AE4DBA"/>
    <w:rsid w:val="00AE4F07"/>
    <w:rsid w:val="00AE52F7"/>
    <w:rsid w:val="00AE6CA1"/>
    <w:rsid w:val="00AE7025"/>
    <w:rsid w:val="00AE79A3"/>
    <w:rsid w:val="00AE7F5A"/>
    <w:rsid w:val="00AF0BFA"/>
    <w:rsid w:val="00AF13F7"/>
    <w:rsid w:val="00AF1C5D"/>
    <w:rsid w:val="00AF42D7"/>
    <w:rsid w:val="00AF4961"/>
    <w:rsid w:val="00AF6F2F"/>
    <w:rsid w:val="00B006FE"/>
    <w:rsid w:val="00B007CB"/>
    <w:rsid w:val="00B01B96"/>
    <w:rsid w:val="00B02AA9"/>
    <w:rsid w:val="00B02F74"/>
    <w:rsid w:val="00B02F9A"/>
    <w:rsid w:val="00B02FA3"/>
    <w:rsid w:val="00B05084"/>
    <w:rsid w:val="00B05991"/>
    <w:rsid w:val="00B06F12"/>
    <w:rsid w:val="00B06F21"/>
    <w:rsid w:val="00B114CE"/>
    <w:rsid w:val="00B14F34"/>
    <w:rsid w:val="00B156EB"/>
    <w:rsid w:val="00B157F9"/>
    <w:rsid w:val="00B167F1"/>
    <w:rsid w:val="00B20256"/>
    <w:rsid w:val="00B20D09"/>
    <w:rsid w:val="00B21786"/>
    <w:rsid w:val="00B22C9D"/>
    <w:rsid w:val="00B23437"/>
    <w:rsid w:val="00B2763F"/>
    <w:rsid w:val="00B27AAC"/>
    <w:rsid w:val="00B30929"/>
    <w:rsid w:val="00B36621"/>
    <w:rsid w:val="00B369AD"/>
    <w:rsid w:val="00B37066"/>
    <w:rsid w:val="00B372AA"/>
    <w:rsid w:val="00B40445"/>
    <w:rsid w:val="00B41888"/>
    <w:rsid w:val="00B42BDB"/>
    <w:rsid w:val="00B44AA1"/>
    <w:rsid w:val="00B45A52"/>
    <w:rsid w:val="00B46175"/>
    <w:rsid w:val="00B5058B"/>
    <w:rsid w:val="00B51BBD"/>
    <w:rsid w:val="00B52A52"/>
    <w:rsid w:val="00B5681C"/>
    <w:rsid w:val="00B6033E"/>
    <w:rsid w:val="00B60D56"/>
    <w:rsid w:val="00B617E6"/>
    <w:rsid w:val="00B6180A"/>
    <w:rsid w:val="00B61FC9"/>
    <w:rsid w:val="00B62AAA"/>
    <w:rsid w:val="00B62DC3"/>
    <w:rsid w:val="00B6374A"/>
    <w:rsid w:val="00B664C7"/>
    <w:rsid w:val="00B71208"/>
    <w:rsid w:val="00B71B58"/>
    <w:rsid w:val="00B739F6"/>
    <w:rsid w:val="00B74067"/>
    <w:rsid w:val="00B75910"/>
    <w:rsid w:val="00B80661"/>
    <w:rsid w:val="00B8117B"/>
    <w:rsid w:val="00B81A6C"/>
    <w:rsid w:val="00B81D70"/>
    <w:rsid w:val="00B843AE"/>
    <w:rsid w:val="00B85DE5"/>
    <w:rsid w:val="00B85FAE"/>
    <w:rsid w:val="00B90E65"/>
    <w:rsid w:val="00B90F73"/>
    <w:rsid w:val="00B91528"/>
    <w:rsid w:val="00B92917"/>
    <w:rsid w:val="00B93B59"/>
    <w:rsid w:val="00B9406A"/>
    <w:rsid w:val="00B942F5"/>
    <w:rsid w:val="00B94A2F"/>
    <w:rsid w:val="00B95078"/>
    <w:rsid w:val="00B952A8"/>
    <w:rsid w:val="00B96258"/>
    <w:rsid w:val="00BA2280"/>
    <w:rsid w:val="00BA2A08"/>
    <w:rsid w:val="00BA56D2"/>
    <w:rsid w:val="00BA76E0"/>
    <w:rsid w:val="00BB0186"/>
    <w:rsid w:val="00BB1134"/>
    <w:rsid w:val="00BB212F"/>
    <w:rsid w:val="00BB2A25"/>
    <w:rsid w:val="00BB51E9"/>
    <w:rsid w:val="00BB56BD"/>
    <w:rsid w:val="00BB78D4"/>
    <w:rsid w:val="00BC0FDC"/>
    <w:rsid w:val="00BC1809"/>
    <w:rsid w:val="00BC2238"/>
    <w:rsid w:val="00BC3053"/>
    <w:rsid w:val="00BC4D2E"/>
    <w:rsid w:val="00BC6A51"/>
    <w:rsid w:val="00BC6E25"/>
    <w:rsid w:val="00BC72EC"/>
    <w:rsid w:val="00BC786F"/>
    <w:rsid w:val="00BD08B5"/>
    <w:rsid w:val="00BD46A8"/>
    <w:rsid w:val="00BD48AC"/>
    <w:rsid w:val="00BD5146"/>
    <w:rsid w:val="00BD5F1A"/>
    <w:rsid w:val="00BD5F1B"/>
    <w:rsid w:val="00BE1234"/>
    <w:rsid w:val="00BE2FA6"/>
    <w:rsid w:val="00BE333F"/>
    <w:rsid w:val="00BE3A64"/>
    <w:rsid w:val="00BE4F7A"/>
    <w:rsid w:val="00BE7406"/>
    <w:rsid w:val="00BE741C"/>
    <w:rsid w:val="00BE7603"/>
    <w:rsid w:val="00BF3279"/>
    <w:rsid w:val="00BF74C7"/>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4B88"/>
    <w:rsid w:val="00C14D4B"/>
    <w:rsid w:val="00C154BB"/>
    <w:rsid w:val="00C15B66"/>
    <w:rsid w:val="00C210BC"/>
    <w:rsid w:val="00C21C9E"/>
    <w:rsid w:val="00C237F8"/>
    <w:rsid w:val="00C26FAA"/>
    <w:rsid w:val="00C279B5"/>
    <w:rsid w:val="00C27C45"/>
    <w:rsid w:val="00C32657"/>
    <w:rsid w:val="00C3719D"/>
    <w:rsid w:val="00C37CC3"/>
    <w:rsid w:val="00C4067E"/>
    <w:rsid w:val="00C42BAB"/>
    <w:rsid w:val="00C46A82"/>
    <w:rsid w:val="00C4742E"/>
    <w:rsid w:val="00C50008"/>
    <w:rsid w:val="00C51FCF"/>
    <w:rsid w:val="00C54995"/>
    <w:rsid w:val="00C54D41"/>
    <w:rsid w:val="00C55921"/>
    <w:rsid w:val="00C55F6F"/>
    <w:rsid w:val="00C561AF"/>
    <w:rsid w:val="00C57605"/>
    <w:rsid w:val="00C57CB8"/>
    <w:rsid w:val="00C6006D"/>
    <w:rsid w:val="00C60783"/>
    <w:rsid w:val="00C620ED"/>
    <w:rsid w:val="00C63229"/>
    <w:rsid w:val="00C63695"/>
    <w:rsid w:val="00C64672"/>
    <w:rsid w:val="00C64E8D"/>
    <w:rsid w:val="00C70697"/>
    <w:rsid w:val="00C72EF4"/>
    <w:rsid w:val="00C743F0"/>
    <w:rsid w:val="00C75D2F"/>
    <w:rsid w:val="00C767BE"/>
    <w:rsid w:val="00C76963"/>
    <w:rsid w:val="00C76E3C"/>
    <w:rsid w:val="00C77B92"/>
    <w:rsid w:val="00C81568"/>
    <w:rsid w:val="00C81FD3"/>
    <w:rsid w:val="00C9027A"/>
    <w:rsid w:val="00C905CD"/>
    <w:rsid w:val="00C9062C"/>
    <w:rsid w:val="00C9068E"/>
    <w:rsid w:val="00C92B2B"/>
    <w:rsid w:val="00C9342D"/>
    <w:rsid w:val="00C93C4B"/>
    <w:rsid w:val="00C944AB"/>
    <w:rsid w:val="00C95477"/>
    <w:rsid w:val="00C95B40"/>
    <w:rsid w:val="00C97A23"/>
    <w:rsid w:val="00CA0590"/>
    <w:rsid w:val="00CA12D1"/>
    <w:rsid w:val="00CA1ED8"/>
    <w:rsid w:val="00CA31A3"/>
    <w:rsid w:val="00CA3D41"/>
    <w:rsid w:val="00CB0346"/>
    <w:rsid w:val="00CB1F47"/>
    <w:rsid w:val="00CB1F63"/>
    <w:rsid w:val="00CB397B"/>
    <w:rsid w:val="00CB7170"/>
    <w:rsid w:val="00CC0405"/>
    <w:rsid w:val="00CC040E"/>
    <w:rsid w:val="00CC111F"/>
    <w:rsid w:val="00CC14CB"/>
    <w:rsid w:val="00CC2011"/>
    <w:rsid w:val="00CC3EA0"/>
    <w:rsid w:val="00CC5E23"/>
    <w:rsid w:val="00CC7B45"/>
    <w:rsid w:val="00CD1188"/>
    <w:rsid w:val="00CD2ED1"/>
    <w:rsid w:val="00CD337B"/>
    <w:rsid w:val="00CE0424"/>
    <w:rsid w:val="00CE7561"/>
    <w:rsid w:val="00CE7AEA"/>
    <w:rsid w:val="00CF02AC"/>
    <w:rsid w:val="00CF1354"/>
    <w:rsid w:val="00CF3960"/>
    <w:rsid w:val="00CF3B1F"/>
    <w:rsid w:val="00CF3BF6"/>
    <w:rsid w:val="00CF625B"/>
    <w:rsid w:val="00CF638D"/>
    <w:rsid w:val="00CF687E"/>
    <w:rsid w:val="00CF6B7A"/>
    <w:rsid w:val="00D0349B"/>
    <w:rsid w:val="00D042BE"/>
    <w:rsid w:val="00D04434"/>
    <w:rsid w:val="00D06151"/>
    <w:rsid w:val="00D078C1"/>
    <w:rsid w:val="00D10249"/>
    <w:rsid w:val="00D10409"/>
    <w:rsid w:val="00D10F00"/>
    <w:rsid w:val="00D1145C"/>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4FC0"/>
    <w:rsid w:val="00D36E71"/>
    <w:rsid w:val="00D37D87"/>
    <w:rsid w:val="00D40B33"/>
    <w:rsid w:val="00D41BDF"/>
    <w:rsid w:val="00D4318F"/>
    <w:rsid w:val="00D438BF"/>
    <w:rsid w:val="00D43F5A"/>
    <w:rsid w:val="00D440F8"/>
    <w:rsid w:val="00D44DDF"/>
    <w:rsid w:val="00D53C21"/>
    <w:rsid w:val="00D546FF"/>
    <w:rsid w:val="00D54CB1"/>
    <w:rsid w:val="00D55AD5"/>
    <w:rsid w:val="00D576CA"/>
    <w:rsid w:val="00D60E13"/>
    <w:rsid w:val="00D61AF5"/>
    <w:rsid w:val="00D62054"/>
    <w:rsid w:val="00D621F8"/>
    <w:rsid w:val="00D62CD5"/>
    <w:rsid w:val="00D6435F"/>
    <w:rsid w:val="00D64BBB"/>
    <w:rsid w:val="00D652B5"/>
    <w:rsid w:val="00D66155"/>
    <w:rsid w:val="00D708B0"/>
    <w:rsid w:val="00D70DDE"/>
    <w:rsid w:val="00D70E73"/>
    <w:rsid w:val="00D763CD"/>
    <w:rsid w:val="00D76401"/>
    <w:rsid w:val="00D7680A"/>
    <w:rsid w:val="00D77B1D"/>
    <w:rsid w:val="00D77E1B"/>
    <w:rsid w:val="00D8021F"/>
    <w:rsid w:val="00D80383"/>
    <w:rsid w:val="00D817B0"/>
    <w:rsid w:val="00D823C6"/>
    <w:rsid w:val="00D835C9"/>
    <w:rsid w:val="00D84DDC"/>
    <w:rsid w:val="00D86C86"/>
    <w:rsid w:val="00D86CA3"/>
    <w:rsid w:val="00D871CE"/>
    <w:rsid w:val="00D878F0"/>
    <w:rsid w:val="00D91055"/>
    <w:rsid w:val="00D9196D"/>
    <w:rsid w:val="00D92982"/>
    <w:rsid w:val="00DA01B6"/>
    <w:rsid w:val="00DA1349"/>
    <w:rsid w:val="00DA305E"/>
    <w:rsid w:val="00DA5007"/>
    <w:rsid w:val="00DA5417"/>
    <w:rsid w:val="00DA56E8"/>
    <w:rsid w:val="00DA5E2B"/>
    <w:rsid w:val="00DA6A0A"/>
    <w:rsid w:val="00DA6CA1"/>
    <w:rsid w:val="00DB00F8"/>
    <w:rsid w:val="00DB0A9F"/>
    <w:rsid w:val="00DB377D"/>
    <w:rsid w:val="00DB5719"/>
    <w:rsid w:val="00DB6768"/>
    <w:rsid w:val="00DB72C9"/>
    <w:rsid w:val="00DC1887"/>
    <w:rsid w:val="00DC25CF"/>
    <w:rsid w:val="00DC2D36"/>
    <w:rsid w:val="00DC4F17"/>
    <w:rsid w:val="00DC53EF"/>
    <w:rsid w:val="00DD2697"/>
    <w:rsid w:val="00DD740E"/>
    <w:rsid w:val="00DE2D93"/>
    <w:rsid w:val="00DE4E2C"/>
    <w:rsid w:val="00DE5608"/>
    <w:rsid w:val="00DE58D0"/>
    <w:rsid w:val="00DE654F"/>
    <w:rsid w:val="00DF02B2"/>
    <w:rsid w:val="00DF0B6E"/>
    <w:rsid w:val="00DF15E0"/>
    <w:rsid w:val="00DF1C34"/>
    <w:rsid w:val="00DF37A0"/>
    <w:rsid w:val="00DF5C56"/>
    <w:rsid w:val="00E002D7"/>
    <w:rsid w:val="00E05CDC"/>
    <w:rsid w:val="00E05EBD"/>
    <w:rsid w:val="00E110E7"/>
    <w:rsid w:val="00E11962"/>
    <w:rsid w:val="00E11B20"/>
    <w:rsid w:val="00E1577B"/>
    <w:rsid w:val="00E16446"/>
    <w:rsid w:val="00E17FA2"/>
    <w:rsid w:val="00E20983"/>
    <w:rsid w:val="00E222A7"/>
    <w:rsid w:val="00E22330"/>
    <w:rsid w:val="00E25089"/>
    <w:rsid w:val="00E30B5A"/>
    <w:rsid w:val="00E310FF"/>
    <w:rsid w:val="00E3123D"/>
    <w:rsid w:val="00E31461"/>
    <w:rsid w:val="00E31D43"/>
    <w:rsid w:val="00E32608"/>
    <w:rsid w:val="00E33F88"/>
    <w:rsid w:val="00E34188"/>
    <w:rsid w:val="00E345CD"/>
    <w:rsid w:val="00E34B6E"/>
    <w:rsid w:val="00E35559"/>
    <w:rsid w:val="00E37218"/>
    <w:rsid w:val="00E3723A"/>
    <w:rsid w:val="00E37860"/>
    <w:rsid w:val="00E4054A"/>
    <w:rsid w:val="00E40BB2"/>
    <w:rsid w:val="00E41AA0"/>
    <w:rsid w:val="00E4258F"/>
    <w:rsid w:val="00E446F1"/>
    <w:rsid w:val="00E46091"/>
    <w:rsid w:val="00E46886"/>
    <w:rsid w:val="00E47AEF"/>
    <w:rsid w:val="00E50DED"/>
    <w:rsid w:val="00E518D7"/>
    <w:rsid w:val="00E53B75"/>
    <w:rsid w:val="00E54E3B"/>
    <w:rsid w:val="00E57565"/>
    <w:rsid w:val="00E62F35"/>
    <w:rsid w:val="00E63838"/>
    <w:rsid w:val="00E64434"/>
    <w:rsid w:val="00E67C51"/>
    <w:rsid w:val="00E70C0D"/>
    <w:rsid w:val="00E71DF6"/>
    <w:rsid w:val="00E72B2A"/>
    <w:rsid w:val="00E72EFC"/>
    <w:rsid w:val="00E758EC"/>
    <w:rsid w:val="00E76259"/>
    <w:rsid w:val="00E774DB"/>
    <w:rsid w:val="00E8071B"/>
    <w:rsid w:val="00E8233A"/>
    <w:rsid w:val="00E8234C"/>
    <w:rsid w:val="00E8385E"/>
    <w:rsid w:val="00E83AA9"/>
    <w:rsid w:val="00E85928"/>
    <w:rsid w:val="00E860AE"/>
    <w:rsid w:val="00E87822"/>
    <w:rsid w:val="00E90395"/>
    <w:rsid w:val="00E90E49"/>
    <w:rsid w:val="00E916DA"/>
    <w:rsid w:val="00E917F9"/>
    <w:rsid w:val="00E9291C"/>
    <w:rsid w:val="00E93FFE"/>
    <w:rsid w:val="00E94F8A"/>
    <w:rsid w:val="00E96A90"/>
    <w:rsid w:val="00E96F47"/>
    <w:rsid w:val="00E97A81"/>
    <w:rsid w:val="00EA145C"/>
    <w:rsid w:val="00EA5F77"/>
    <w:rsid w:val="00EA7A41"/>
    <w:rsid w:val="00EA7E2A"/>
    <w:rsid w:val="00EB05A0"/>
    <w:rsid w:val="00EB077B"/>
    <w:rsid w:val="00EB2190"/>
    <w:rsid w:val="00EB4EA2"/>
    <w:rsid w:val="00EB6346"/>
    <w:rsid w:val="00EB7AC8"/>
    <w:rsid w:val="00EC27C6"/>
    <w:rsid w:val="00EC4207"/>
    <w:rsid w:val="00EC5653"/>
    <w:rsid w:val="00EC583B"/>
    <w:rsid w:val="00EC58C3"/>
    <w:rsid w:val="00EC5D1F"/>
    <w:rsid w:val="00EC60B5"/>
    <w:rsid w:val="00EC6A49"/>
    <w:rsid w:val="00EC71CE"/>
    <w:rsid w:val="00ED1006"/>
    <w:rsid w:val="00ED1AA4"/>
    <w:rsid w:val="00ED3F0F"/>
    <w:rsid w:val="00ED6433"/>
    <w:rsid w:val="00EE1309"/>
    <w:rsid w:val="00EE1E64"/>
    <w:rsid w:val="00EF08AA"/>
    <w:rsid w:val="00EF18FE"/>
    <w:rsid w:val="00EF3004"/>
    <w:rsid w:val="00EF4DCB"/>
    <w:rsid w:val="00EF5787"/>
    <w:rsid w:val="00EF60D0"/>
    <w:rsid w:val="00EF682C"/>
    <w:rsid w:val="00F0528D"/>
    <w:rsid w:val="00F06C67"/>
    <w:rsid w:val="00F06DFD"/>
    <w:rsid w:val="00F071D1"/>
    <w:rsid w:val="00F07406"/>
    <w:rsid w:val="00F07533"/>
    <w:rsid w:val="00F10629"/>
    <w:rsid w:val="00F11290"/>
    <w:rsid w:val="00F1286F"/>
    <w:rsid w:val="00F131B8"/>
    <w:rsid w:val="00F13B91"/>
    <w:rsid w:val="00F15FA5"/>
    <w:rsid w:val="00F1654E"/>
    <w:rsid w:val="00F17545"/>
    <w:rsid w:val="00F17A46"/>
    <w:rsid w:val="00F209B7"/>
    <w:rsid w:val="00F23500"/>
    <w:rsid w:val="00F235D2"/>
    <w:rsid w:val="00F2376F"/>
    <w:rsid w:val="00F243D8"/>
    <w:rsid w:val="00F27528"/>
    <w:rsid w:val="00F2754D"/>
    <w:rsid w:val="00F27A64"/>
    <w:rsid w:val="00F301AC"/>
    <w:rsid w:val="00F30828"/>
    <w:rsid w:val="00F313D6"/>
    <w:rsid w:val="00F316AA"/>
    <w:rsid w:val="00F31D12"/>
    <w:rsid w:val="00F326B4"/>
    <w:rsid w:val="00F33F93"/>
    <w:rsid w:val="00F34438"/>
    <w:rsid w:val="00F40F0C"/>
    <w:rsid w:val="00F41518"/>
    <w:rsid w:val="00F42123"/>
    <w:rsid w:val="00F452A8"/>
    <w:rsid w:val="00F4766C"/>
    <w:rsid w:val="00F507D1"/>
    <w:rsid w:val="00F519CE"/>
    <w:rsid w:val="00F51ADA"/>
    <w:rsid w:val="00F51EC2"/>
    <w:rsid w:val="00F53AF3"/>
    <w:rsid w:val="00F560BB"/>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869FD"/>
    <w:rsid w:val="00F9056A"/>
    <w:rsid w:val="00F90F8D"/>
    <w:rsid w:val="00F9242E"/>
    <w:rsid w:val="00F92782"/>
    <w:rsid w:val="00F93AA9"/>
    <w:rsid w:val="00F94B97"/>
    <w:rsid w:val="00F96966"/>
    <w:rsid w:val="00F96985"/>
    <w:rsid w:val="00F97838"/>
    <w:rsid w:val="00F97C4E"/>
    <w:rsid w:val="00FA12D2"/>
    <w:rsid w:val="00FA2BB3"/>
    <w:rsid w:val="00FA3142"/>
    <w:rsid w:val="00FA31FB"/>
    <w:rsid w:val="00FA5319"/>
    <w:rsid w:val="00FB0F8B"/>
    <w:rsid w:val="00FB19A1"/>
    <w:rsid w:val="00FB455B"/>
    <w:rsid w:val="00FB46B7"/>
    <w:rsid w:val="00FB4789"/>
    <w:rsid w:val="00FB4C80"/>
    <w:rsid w:val="00FB65DA"/>
    <w:rsid w:val="00FB68AE"/>
    <w:rsid w:val="00FB6A6A"/>
    <w:rsid w:val="00FB6F61"/>
    <w:rsid w:val="00FC0873"/>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257178515">
      <w:bodyDiv w:val="1"/>
      <w:marLeft w:val="0"/>
      <w:marRight w:val="0"/>
      <w:marTop w:val="0"/>
      <w:marBottom w:val="0"/>
      <w:divBdr>
        <w:top w:val="none" w:sz="0" w:space="0" w:color="auto"/>
        <w:left w:val="none" w:sz="0" w:space="0" w:color="auto"/>
        <w:bottom w:val="none" w:sz="0" w:space="0" w:color="auto"/>
        <w:right w:val="none" w:sz="0" w:space="0" w:color="auto"/>
      </w:divBdr>
      <w:divsChild>
        <w:div w:id="85269208">
          <w:marLeft w:val="1440"/>
          <w:marRight w:val="0"/>
          <w:marTop w:val="96"/>
          <w:marBottom w:val="0"/>
          <w:divBdr>
            <w:top w:val="none" w:sz="0" w:space="0" w:color="auto"/>
            <w:left w:val="none" w:sz="0" w:space="0" w:color="auto"/>
            <w:bottom w:val="none" w:sz="0" w:space="0" w:color="auto"/>
            <w:right w:val="none" w:sz="0" w:space="0" w:color="auto"/>
          </w:divBdr>
        </w:div>
        <w:div w:id="1536575965">
          <w:marLeft w:val="1440"/>
          <w:marRight w:val="0"/>
          <w:marTop w:val="96"/>
          <w:marBottom w:val="0"/>
          <w:divBdr>
            <w:top w:val="none" w:sz="0" w:space="0" w:color="auto"/>
            <w:left w:val="none" w:sz="0" w:space="0" w:color="auto"/>
            <w:bottom w:val="none" w:sz="0" w:space="0" w:color="auto"/>
            <w:right w:val="none" w:sz="0" w:space="0" w:color="auto"/>
          </w:divBdr>
        </w:div>
        <w:div w:id="399209053">
          <w:marLeft w:val="1440"/>
          <w:marRight w:val="0"/>
          <w:marTop w:val="96"/>
          <w:marBottom w:val="0"/>
          <w:divBdr>
            <w:top w:val="none" w:sz="0" w:space="0" w:color="auto"/>
            <w:left w:val="none" w:sz="0" w:space="0" w:color="auto"/>
            <w:bottom w:val="none" w:sz="0" w:space="0" w:color="auto"/>
            <w:right w:val="none" w:sz="0" w:space="0" w:color="auto"/>
          </w:divBdr>
        </w:div>
      </w:divsChild>
    </w:div>
    <w:div w:id="674378932">
      <w:bodyDiv w:val="1"/>
      <w:marLeft w:val="0"/>
      <w:marRight w:val="0"/>
      <w:marTop w:val="0"/>
      <w:marBottom w:val="0"/>
      <w:divBdr>
        <w:top w:val="none" w:sz="0" w:space="0" w:color="auto"/>
        <w:left w:val="none" w:sz="0" w:space="0" w:color="auto"/>
        <w:bottom w:val="none" w:sz="0" w:space="0" w:color="auto"/>
        <w:right w:val="none" w:sz="0" w:space="0" w:color="auto"/>
      </w:divBdr>
      <w:divsChild>
        <w:div w:id="226959441">
          <w:marLeft w:val="1166"/>
          <w:marRight w:val="0"/>
          <w:marTop w:val="96"/>
          <w:marBottom w:val="0"/>
          <w:divBdr>
            <w:top w:val="none" w:sz="0" w:space="0" w:color="auto"/>
            <w:left w:val="none" w:sz="0" w:space="0" w:color="auto"/>
            <w:bottom w:val="none" w:sz="0" w:space="0" w:color="auto"/>
            <w:right w:val="none" w:sz="0" w:space="0" w:color="auto"/>
          </w:divBdr>
        </w:div>
        <w:div w:id="1817407684">
          <w:marLeft w:val="1800"/>
          <w:marRight w:val="0"/>
          <w:marTop w:val="77"/>
          <w:marBottom w:val="0"/>
          <w:divBdr>
            <w:top w:val="none" w:sz="0" w:space="0" w:color="auto"/>
            <w:left w:val="none" w:sz="0" w:space="0" w:color="auto"/>
            <w:bottom w:val="none" w:sz="0" w:space="0" w:color="auto"/>
            <w:right w:val="none" w:sz="0" w:space="0" w:color="auto"/>
          </w:divBdr>
        </w:div>
        <w:div w:id="170336806">
          <w:marLeft w:val="1166"/>
          <w:marRight w:val="0"/>
          <w:marTop w:val="96"/>
          <w:marBottom w:val="0"/>
          <w:divBdr>
            <w:top w:val="none" w:sz="0" w:space="0" w:color="auto"/>
            <w:left w:val="none" w:sz="0" w:space="0" w:color="auto"/>
            <w:bottom w:val="none" w:sz="0" w:space="0" w:color="auto"/>
            <w:right w:val="none" w:sz="0" w:space="0" w:color="auto"/>
          </w:divBdr>
        </w:div>
      </w:divsChild>
    </w:div>
    <w:div w:id="1091508714">
      <w:bodyDiv w:val="1"/>
      <w:marLeft w:val="0"/>
      <w:marRight w:val="0"/>
      <w:marTop w:val="0"/>
      <w:marBottom w:val="0"/>
      <w:divBdr>
        <w:top w:val="none" w:sz="0" w:space="0" w:color="auto"/>
        <w:left w:val="none" w:sz="0" w:space="0" w:color="auto"/>
        <w:bottom w:val="none" w:sz="0" w:space="0" w:color="auto"/>
        <w:right w:val="none" w:sz="0" w:space="0" w:color="auto"/>
      </w:divBdr>
      <w:divsChild>
        <w:div w:id="1864056751">
          <w:marLeft w:val="1800"/>
          <w:marRight w:val="0"/>
          <w:marTop w:val="67"/>
          <w:marBottom w:val="0"/>
          <w:divBdr>
            <w:top w:val="none" w:sz="0" w:space="0" w:color="auto"/>
            <w:left w:val="none" w:sz="0" w:space="0" w:color="auto"/>
            <w:bottom w:val="none" w:sz="0" w:space="0" w:color="auto"/>
            <w:right w:val="none" w:sz="0" w:space="0" w:color="auto"/>
          </w:divBdr>
        </w:div>
      </w:divsChild>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6.xml><?xml version="1.0" encoding="utf-8"?>
<ds:datastoreItem xmlns:ds="http://schemas.openxmlformats.org/officeDocument/2006/customXml" ds:itemID="{C00881A6-7489-447E-96FC-DFC600F5C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3</Pages>
  <Words>1012</Words>
  <Characters>5775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7</cp:revision>
  <cp:lastPrinted>2008-01-31T06:09:00Z</cp:lastPrinted>
  <dcterms:created xsi:type="dcterms:W3CDTF">2018-04-06T13:58:00Z</dcterms:created>
  <dcterms:modified xsi:type="dcterms:W3CDTF">2018-04-06T22:52:00Z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